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185368A1" w:rsidR="005E1D0B" w:rsidRPr="000E3C3A" w:rsidRDefault="000E3C3A" w:rsidP="007528F2">
            <w:pPr>
              <w:ind w:left="-101" w:right="-851"/>
              <w:jc w:val="both"/>
              <w:rPr>
                <w:lang w:val="en-US"/>
              </w:rPr>
            </w:pPr>
            <w:r w:rsidRPr="000E3C3A">
              <w:rPr>
                <w:lang w:val="en-US"/>
              </w:rPr>
              <w:t>AMUNDI GLOBAL HIGH YIELD CORPORATE BOND ESG</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08F6344F" w:rsidR="005E1D0B" w:rsidRPr="007528F2" w:rsidRDefault="000E3C3A" w:rsidP="003F0A0C">
            <w:pPr>
              <w:ind w:right="-851"/>
              <w:rPr>
                <w:lang w:val="it-IT"/>
              </w:rPr>
            </w:pPr>
            <w:r w:rsidRPr="000E3C3A">
              <w:rPr>
                <w:lang w:val="it-IT"/>
              </w:rPr>
              <w:t>213800NJSA5FHLC6HE45</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6CFD546E" w14:textId="3D90BB50" w:rsidR="0035612E" w:rsidRPr="0035612E" w:rsidRDefault="0035612E" w:rsidP="0035612E">
      <w:pPr>
        <w:jc w:val="both"/>
        <w:rPr>
          <w:lang w:val="en-IE"/>
        </w:rPr>
      </w:pPr>
      <w:r w:rsidRPr="0035612E">
        <w:rPr>
          <w:lang w:val="en-IE"/>
        </w:rPr>
        <w:t>The Sub-Fund promotes environmental and/or social characteristics through among others, replicating an</w:t>
      </w:r>
      <w:r>
        <w:rPr>
          <w:lang w:val="en-IE"/>
        </w:rPr>
        <w:t xml:space="preserve"> </w:t>
      </w:r>
      <w:r w:rsidRPr="0035612E">
        <w:rPr>
          <w:lang w:val="en-IE"/>
        </w:rPr>
        <w:t>Index integrating an environmental, social and governance ("ESG") rating.</w:t>
      </w:r>
    </w:p>
    <w:p w14:paraId="7C217E31" w14:textId="3D21DF6D" w:rsidR="00254F38" w:rsidRDefault="0035612E" w:rsidP="0035612E">
      <w:pPr>
        <w:jc w:val="both"/>
        <w:rPr>
          <w:lang w:val="en-IE"/>
        </w:rPr>
      </w:pPr>
      <w:r w:rsidRPr="0035612E">
        <w:rPr>
          <w:lang w:val="en-IE"/>
        </w:rPr>
        <w:t>The Index methodology is constructed using a "Best-in-class approach": best ranked companies are</w:t>
      </w:r>
      <w:r>
        <w:rPr>
          <w:lang w:val="en-IE"/>
        </w:rPr>
        <w:t xml:space="preserve"> </w:t>
      </w:r>
      <w:r w:rsidRPr="0035612E">
        <w:rPr>
          <w:lang w:val="en-IE"/>
        </w:rPr>
        <w:t>selected to construct the Index. "Best-in-class" is an approach where leading or best-performing</w:t>
      </w:r>
      <w:r>
        <w:rPr>
          <w:lang w:val="en-IE"/>
        </w:rPr>
        <w:t xml:space="preserve"> </w:t>
      </w:r>
      <w:r w:rsidRPr="0035612E">
        <w:rPr>
          <w:lang w:val="en-IE"/>
        </w:rPr>
        <w:t>investments are selected within a universe, industry sector or class. Using such Best-in-class approach,</w:t>
      </w:r>
      <w:r>
        <w:rPr>
          <w:lang w:val="en-IE"/>
        </w:rPr>
        <w:t xml:space="preserve"> </w:t>
      </w:r>
      <w:r w:rsidRPr="0035612E">
        <w:rPr>
          <w:lang w:val="en-IE"/>
        </w:rPr>
        <w:t>the</w:t>
      </w:r>
      <w:r>
        <w:rPr>
          <w:lang w:val="en-IE"/>
        </w:rPr>
        <w:t xml:space="preserve"> </w:t>
      </w:r>
      <w:r w:rsidRPr="0035612E">
        <w:rPr>
          <w:lang w:val="en-IE"/>
        </w:rPr>
        <w:t>Index follows an extra-financial approach significantly engaging that permits the reduction by at least 20%</w:t>
      </w:r>
      <w:r>
        <w:rPr>
          <w:lang w:val="en-IE"/>
        </w:rPr>
        <w:t xml:space="preserve"> </w:t>
      </w:r>
      <w:r w:rsidRPr="0035612E">
        <w:rPr>
          <w:lang w:val="en-IE"/>
        </w:rPr>
        <w:t>of the initial investment universe (expressed in number of issuers).</w:t>
      </w:r>
    </w:p>
    <w:p w14:paraId="3A4AF2A7" w14:textId="77777777" w:rsidR="0035612E" w:rsidRPr="00254F38" w:rsidRDefault="0035612E" w:rsidP="0035612E">
      <w:pPr>
        <w:jc w:val="both"/>
        <w:rPr>
          <w:lang w:val="en-US"/>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4F7F00EA" w14:textId="069D4EE3" w:rsidR="00815B0D" w:rsidRPr="00815B0D" w:rsidRDefault="00815B0D" w:rsidP="00815B0D">
      <w:pPr>
        <w:jc w:val="both"/>
        <w:rPr>
          <w:lang w:val="en-US"/>
        </w:rPr>
      </w:pPr>
      <w:r w:rsidRPr="00815B0D">
        <w:rPr>
          <w:lang w:val="en-US"/>
        </w:rPr>
        <w:t>The Sub-Fund objective is to track the performance of Bloomberg MSCI Global Corporate High Yield SRI</w:t>
      </w:r>
      <w:r>
        <w:rPr>
          <w:lang w:val="en-US"/>
        </w:rPr>
        <w:t xml:space="preserve"> </w:t>
      </w:r>
      <w:r w:rsidRPr="00815B0D">
        <w:rPr>
          <w:lang w:val="en-US"/>
        </w:rPr>
        <w:t>Sustainable Index ("the Index"), and to minimize the tracking error between the net asset value of the</w:t>
      </w:r>
      <w:r>
        <w:rPr>
          <w:lang w:val="en-US"/>
        </w:rPr>
        <w:t xml:space="preserve"> </w:t>
      </w:r>
      <w:r w:rsidRPr="00815B0D">
        <w:rPr>
          <w:lang w:val="en-US"/>
        </w:rPr>
        <w:t>sub-fund and the performance of the Index.</w:t>
      </w:r>
    </w:p>
    <w:p w14:paraId="4D3FD4BA" w14:textId="77777777" w:rsidR="00815B0D" w:rsidRDefault="00815B0D" w:rsidP="00815B0D">
      <w:pPr>
        <w:jc w:val="both"/>
        <w:rPr>
          <w:lang w:val="en-US"/>
        </w:rPr>
      </w:pPr>
      <w:r w:rsidRPr="00815B0D">
        <w:rPr>
          <w:lang w:val="en-US"/>
        </w:rPr>
        <w:t>The Index offers exposure to the high yield corporate bond market denominated in USD, EUR and GBP.</w:t>
      </w:r>
    </w:p>
    <w:p w14:paraId="150E760F" w14:textId="75756888" w:rsidR="00815B0D" w:rsidRDefault="00815B0D" w:rsidP="00815B0D">
      <w:pPr>
        <w:jc w:val="both"/>
        <w:rPr>
          <w:lang w:val="en-US"/>
        </w:rPr>
      </w:pPr>
      <w:r w:rsidRPr="00815B0D">
        <w:rPr>
          <w:lang w:val="en-US"/>
        </w:rPr>
        <w:t>This index is based on the Bloomberg Global High Yield Corporate Index (the "Parent Index") and applies</w:t>
      </w:r>
      <w:r>
        <w:rPr>
          <w:lang w:val="en-US"/>
        </w:rPr>
        <w:t xml:space="preserve"> </w:t>
      </w:r>
      <w:r w:rsidRPr="00815B0D">
        <w:rPr>
          <w:lang w:val="en-US"/>
        </w:rPr>
        <w:t>additional criteria to include issuers with MSCI ESG Ratings of BBB or higher and negatively screens issuers</w:t>
      </w:r>
      <w:r>
        <w:rPr>
          <w:lang w:val="en-US"/>
        </w:rPr>
        <w:t xml:space="preserve"> </w:t>
      </w:r>
      <w:r w:rsidRPr="00815B0D">
        <w:rPr>
          <w:lang w:val="en-US"/>
        </w:rPr>
        <w:t>that are involved in business activities that are restricted according to pre-defined</w:t>
      </w:r>
      <w:r>
        <w:rPr>
          <w:lang w:val="en-US"/>
        </w:rPr>
        <w:t xml:space="preserve"> </w:t>
      </w:r>
      <w:r w:rsidRPr="00815B0D">
        <w:rPr>
          <w:lang w:val="en-US"/>
        </w:rPr>
        <w:t>Business Involvement</w:t>
      </w:r>
      <w:r>
        <w:rPr>
          <w:lang w:val="en-US"/>
        </w:rPr>
        <w:t xml:space="preserve"> </w:t>
      </w:r>
      <w:r w:rsidRPr="00815B0D">
        <w:rPr>
          <w:lang w:val="en-US"/>
        </w:rPr>
        <w:t>Screens and issuers with a "Red" MSCI ESG Controversy Score.</w:t>
      </w:r>
    </w:p>
    <w:p w14:paraId="27BC63F9" w14:textId="32E54BEA" w:rsidR="00815B0D" w:rsidRPr="00815B0D" w:rsidRDefault="00815B0D" w:rsidP="00815B0D">
      <w:pPr>
        <w:jc w:val="both"/>
        <w:rPr>
          <w:lang w:val="en-US"/>
        </w:rPr>
      </w:pPr>
      <w:r w:rsidRPr="00815B0D">
        <w:rPr>
          <w:lang w:val="en-US"/>
        </w:rPr>
        <w:t>This is a passively managed ETF. Its investment strategy is to replicate the Index while minimizing the</w:t>
      </w:r>
      <w:r>
        <w:rPr>
          <w:lang w:val="en-US"/>
        </w:rPr>
        <w:t xml:space="preserve"> </w:t>
      </w:r>
      <w:r w:rsidRPr="00815B0D">
        <w:rPr>
          <w:lang w:val="en-US"/>
        </w:rPr>
        <w:t>related tracking error.</w:t>
      </w:r>
    </w:p>
    <w:p w14:paraId="5221822D" w14:textId="30DB6EDC" w:rsidR="00815B0D" w:rsidRPr="00815B0D" w:rsidRDefault="00815B0D" w:rsidP="00815B0D">
      <w:pPr>
        <w:jc w:val="both"/>
        <w:rPr>
          <w:lang w:val="en-US"/>
        </w:rPr>
      </w:pPr>
      <w:r w:rsidRPr="00815B0D">
        <w:rPr>
          <w:lang w:val="en-US"/>
        </w:rPr>
        <w:t>The applicable universe comprises USD, EUR and GBP denominated high yield bonds issued by</w:t>
      </w:r>
      <w:r>
        <w:rPr>
          <w:lang w:val="en-US"/>
        </w:rPr>
        <w:t xml:space="preserve"> </w:t>
      </w:r>
      <w:r w:rsidRPr="00815B0D">
        <w:rPr>
          <w:lang w:val="en-US"/>
        </w:rPr>
        <w:t>companies in developed markets, and with a minimum par amount outstanding with fixed minimum</w:t>
      </w:r>
      <w:r>
        <w:rPr>
          <w:lang w:val="en-US"/>
        </w:rPr>
        <w:t xml:space="preserve"> </w:t>
      </w:r>
      <w:r w:rsidRPr="00815B0D">
        <w:rPr>
          <w:lang w:val="en-US"/>
        </w:rPr>
        <w:lastRenderedPageBreak/>
        <w:t>issues sizes set for all eligible currencies, as further described in Annex 1 -ESG Related Disclosures to</w:t>
      </w:r>
      <w:r>
        <w:rPr>
          <w:lang w:val="en-US"/>
        </w:rPr>
        <w:t xml:space="preserve"> </w:t>
      </w:r>
      <w:r w:rsidRPr="00815B0D">
        <w:rPr>
          <w:lang w:val="en-US"/>
        </w:rPr>
        <w:t>this Prospectus.</w:t>
      </w:r>
    </w:p>
    <w:p w14:paraId="103C0FC3" w14:textId="6B356888" w:rsidR="00815B0D" w:rsidRPr="00815B0D" w:rsidRDefault="00815B0D" w:rsidP="00815B0D">
      <w:pPr>
        <w:jc w:val="both"/>
        <w:rPr>
          <w:lang w:val="en-US"/>
        </w:rPr>
      </w:pPr>
      <w:r w:rsidRPr="00815B0D">
        <w:rPr>
          <w:lang w:val="en-US"/>
        </w:rPr>
        <w:t>More precisely, Bloomberg Barclays MSCI Global Corporate High Yield SRI Sustainable Index (the</w:t>
      </w:r>
      <w:r>
        <w:rPr>
          <w:lang w:val="en-US"/>
        </w:rPr>
        <w:t xml:space="preserve"> </w:t>
      </w:r>
      <w:r w:rsidRPr="00815B0D">
        <w:rPr>
          <w:lang w:val="en-US"/>
        </w:rPr>
        <w:t>"Index") offers exposure to the high yield corporate bond market denominated in USD, EUR and GBP.</w:t>
      </w:r>
      <w:r>
        <w:rPr>
          <w:lang w:val="en-US"/>
        </w:rPr>
        <w:t xml:space="preserve"> </w:t>
      </w:r>
      <w:r w:rsidRPr="00815B0D">
        <w:rPr>
          <w:lang w:val="en-US"/>
        </w:rPr>
        <w:t>The Index is a bond index, calculated, maintained and published by Bloomberg Barclays. Among the</w:t>
      </w:r>
      <w:r>
        <w:rPr>
          <w:lang w:val="en-US"/>
        </w:rPr>
        <w:t xml:space="preserve"> </w:t>
      </w:r>
      <w:r w:rsidRPr="00815B0D">
        <w:rPr>
          <w:lang w:val="en-US"/>
        </w:rPr>
        <w:t>universe of USD, EUR and GBP denominated high yield bonds issued by companies in developed</w:t>
      </w:r>
      <w:r>
        <w:rPr>
          <w:lang w:val="en-US"/>
        </w:rPr>
        <w:t xml:space="preserve"> </w:t>
      </w:r>
      <w:r w:rsidRPr="00815B0D">
        <w:rPr>
          <w:lang w:val="en-US"/>
        </w:rPr>
        <w:t>markets, Bloomberg Barclays selects bonds using rules on criteria such as but not limited to: (1)</w:t>
      </w:r>
      <w:r>
        <w:rPr>
          <w:lang w:val="en-US"/>
        </w:rPr>
        <w:t xml:space="preserve"> </w:t>
      </w:r>
      <w:r w:rsidRPr="00815B0D">
        <w:rPr>
          <w:lang w:val="en-US"/>
        </w:rPr>
        <w:t>Minimum amount outstanding at bond level; (2) Remaining time to maturity; (3) Issuers being</w:t>
      </w:r>
      <w:r>
        <w:rPr>
          <w:lang w:val="en-US"/>
        </w:rPr>
        <w:t xml:space="preserve"> </w:t>
      </w:r>
      <w:r w:rsidRPr="00815B0D">
        <w:rPr>
          <w:lang w:val="en-US"/>
        </w:rPr>
        <w:t>attributed an "ESG Rating" (as defined by MSCI). MSCI ESG Rating provides an overall company ESG</w:t>
      </w:r>
      <w:r>
        <w:rPr>
          <w:lang w:val="en-US"/>
        </w:rPr>
        <w:t xml:space="preserve"> </w:t>
      </w:r>
      <w:r w:rsidRPr="00815B0D">
        <w:rPr>
          <w:lang w:val="en-US"/>
        </w:rPr>
        <w:t>rating - a seven-point scale from 'AAA' to 'CCC'. MSCI ESG Rating methodology uses a rules-based</w:t>
      </w:r>
      <w:r>
        <w:rPr>
          <w:lang w:val="en-US"/>
        </w:rPr>
        <w:t xml:space="preserve"> </w:t>
      </w:r>
      <w:r w:rsidRPr="00815B0D">
        <w:rPr>
          <w:lang w:val="en-US"/>
        </w:rPr>
        <w:t>methodology designed to measure a company's resilience to long-term, industry material ESG risks. It</w:t>
      </w:r>
      <w:r>
        <w:rPr>
          <w:lang w:val="en-US"/>
        </w:rPr>
        <w:t xml:space="preserve"> </w:t>
      </w:r>
      <w:r w:rsidRPr="00815B0D">
        <w:rPr>
          <w:lang w:val="en-US"/>
        </w:rPr>
        <w:t>is based on extra-financial ESG key issues that focus on the intersection between a company's core</w:t>
      </w:r>
      <w:r>
        <w:rPr>
          <w:lang w:val="en-US"/>
        </w:rPr>
        <w:t xml:space="preserve"> </w:t>
      </w:r>
      <w:r w:rsidRPr="00815B0D">
        <w:rPr>
          <w:lang w:val="en-US"/>
        </w:rPr>
        <w:t>business and the industry-specific issues that may create significant risks and opportunities for the</w:t>
      </w:r>
      <w:r>
        <w:rPr>
          <w:lang w:val="en-US"/>
        </w:rPr>
        <w:t xml:space="preserve"> </w:t>
      </w:r>
      <w:r w:rsidRPr="00815B0D">
        <w:rPr>
          <w:lang w:val="en-US"/>
        </w:rPr>
        <w:t>company. The ESG key issues are weighted according to impact and time horizon of the risk or</w:t>
      </w:r>
      <w:r>
        <w:rPr>
          <w:lang w:val="en-US"/>
        </w:rPr>
        <w:t xml:space="preserve"> </w:t>
      </w:r>
      <w:r w:rsidRPr="00815B0D">
        <w:rPr>
          <w:lang w:val="en-US"/>
        </w:rPr>
        <w:t>opportunity. The ESG key issues include for instance, but are not limited to, water stress, carbon</w:t>
      </w:r>
      <w:r>
        <w:rPr>
          <w:lang w:val="en-US"/>
        </w:rPr>
        <w:t xml:space="preserve"> </w:t>
      </w:r>
      <w:r w:rsidRPr="00815B0D">
        <w:rPr>
          <w:lang w:val="en-US"/>
        </w:rPr>
        <w:t>emissions, labor management or business. For the avoidance of doubt, companies with no ESG Rating</w:t>
      </w:r>
      <w:r>
        <w:rPr>
          <w:lang w:val="en-US"/>
        </w:rPr>
        <w:t xml:space="preserve"> </w:t>
      </w:r>
      <w:r w:rsidRPr="00815B0D">
        <w:rPr>
          <w:lang w:val="en-US"/>
        </w:rPr>
        <w:t>are excluded; The application of eligibility criteria (1) to (3) leads to a narrowed investment universe</w:t>
      </w:r>
      <w:r>
        <w:rPr>
          <w:lang w:val="en-US"/>
        </w:rPr>
        <w:t xml:space="preserve"> </w:t>
      </w:r>
      <w:r w:rsidRPr="00815B0D">
        <w:rPr>
          <w:lang w:val="en-US"/>
        </w:rPr>
        <w:t>(the "Eligible Universe") (v) The Eligible Universe is screened to exclude issuers : - involved in activities</w:t>
      </w:r>
      <w:r>
        <w:rPr>
          <w:lang w:val="en-US"/>
        </w:rPr>
        <w:t xml:space="preserve"> </w:t>
      </w:r>
      <w:r w:rsidRPr="00815B0D">
        <w:rPr>
          <w:lang w:val="en-US"/>
        </w:rPr>
        <w:t>such as Alcohol, Tobacco, Gambling, Adult Entertainment, Genetically Modified Organisms (GMO),</w:t>
      </w:r>
      <w:r>
        <w:rPr>
          <w:lang w:val="en-US"/>
        </w:rPr>
        <w:t xml:space="preserve"> </w:t>
      </w:r>
      <w:r w:rsidRPr="00815B0D">
        <w:rPr>
          <w:lang w:val="en-US"/>
        </w:rPr>
        <w:t>Nuclear Power, Civilian Firearms, Military Weapons (as per the standard Bloomberg Barclays MSCI SRI</w:t>
      </w:r>
      <w:r>
        <w:rPr>
          <w:lang w:val="en-US"/>
        </w:rPr>
        <w:t xml:space="preserve"> </w:t>
      </w:r>
      <w:r w:rsidRPr="00815B0D">
        <w:rPr>
          <w:lang w:val="en-US"/>
        </w:rPr>
        <w:t>screen), Thermal Coal, Generation of Thermal Coal, or Unconventional Oil and Gas; - involved in a</w:t>
      </w:r>
      <w:r>
        <w:rPr>
          <w:lang w:val="en-US"/>
        </w:rPr>
        <w:t xml:space="preserve"> </w:t>
      </w:r>
      <w:r w:rsidRPr="00815B0D">
        <w:rPr>
          <w:lang w:val="en-US"/>
        </w:rPr>
        <w:t>major ESG controversy (based on the MSCI ESG Controversy score); - with an "ESG Rating" lower than</w:t>
      </w:r>
      <w:r>
        <w:rPr>
          <w:lang w:val="en-US"/>
        </w:rPr>
        <w:t xml:space="preserve"> </w:t>
      </w:r>
      <w:r w:rsidRPr="00815B0D">
        <w:rPr>
          <w:lang w:val="en-US"/>
        </w:rPr>
        <w:t>BBB. The Index uses a "Best-in-class" approach, i.e., an approach where leading or best-performing</w:t>
      </w:r>
      <w:r>
        <w:rPr>
          <w:lang w:val="en-US"/>
        </w:rPr>
        <w:t xml:space="preserve"> </w:t>
      </w:r>
      <w:r w:rsidRPr="00815B0D">
        <w:rPr>
          <w:lang w:val="en-US"/>
        </w:rPr>
        <w:t>investments are selected within a universe, industry sector or class. Using such Best-in-class approach,</w:t>
      </w:r>
      <w:r>
        <w:rPr>
          <w:lang w:val="en-US"/>
        </w:rPr>
        <w:t xml:space="preserve"> </w:t>
      </w:r>
      <w:r w:rsidRPr="00815B0D">
        <w:rPr>
          <w:lang w:val="en-US"/>
        </w:rPr>
        <w:t>the Sub-Fund follows an extra-financial approach significantly engaging that permits the reduction by</w:t>
      </w:r>
      <w:r>
        <w:rPr>
          <w:lang w:val="en-US"/>
        </w:rPr>
        <w:t xml:space="preserve"> </w:t>
      </w:r>
      <w:r w:rsidRPr="00815B0D">
        <w:rPr>
          <w:lang w:val="en-US"/>
        </w:rPr>
        <w:t>at least 20% of the Eligible Universe (expressed in number of issuers).</w:t>
      </w:r>
      <w:r>
        <w:rPr>
          <w:lang w:val="en-US"/>
        </w:rPr>
        <w:t xml:space="preserve"> </w:t>
      </w:r>
      <w:r w:rsidRPr="00815B0D">
        <w:rPr>
          <w:lang w:val="en-US"/>
        </w:rPr>
        <w:t xml:space="preserve">The Product strategy is also relying on systematic exclusions policies (normative and </w:t>
      </w:r>
      <w:proofErr w:type="spellStart"/>
      <w:r w:rsidRPr="00815B0D">
        <w:rPr>
          <w:lang w:val="en-US"/>
        </w:rPr>
        <w:t>sectorials</w:t>
      </w:r>
      <w:proofErr w:type="spellEnd"/>
      <w:r w:rsidRPr="00815B0D">
        <w:rPr>
          <w:lang w:val="en-US"/>
        </w:rPr>
        <w:t>) as</w:t>
      </w:r>
      <w:r>
        <w:rPr>
          <w:lang w:val="en-US"/>
        </w:rPr>
        <w:t xml:space="preserve"> </w:t>
      </w:r>
      <w:r w:rsidRPr="00815B0D">
        <w:rPr>
          <w:lang w:val="en-US"/>
        </w:rPr>
        <w:t>further described in Amundi Responsible Investment policy.</w:t>
      </w:r>
    </w:p>
    <w:p w14:paraId="67EF0ADF" w14:textId="7AE7CFA1" w:rsidR="00815B0D" w:rsidRDefault="00815B0D" w:rsidP="00815B0D">
      <w:pPr>
        <w:jc w:val="both"/>
        <w:rPr>
          <w:lang w:val="en-US"/>
        </w:rPr>
      </w:pPr>
      <w:r w:rsidRPr="00815B0D">
        <w:rPr>
          <w:lang w:val="en-US"/>
        </w:rPr>
        <w:t>The Index applies exclusions to companies involved in activities considered non-aligned with the Paris</w:t>
      </w:r>
      <w:r>
        <w:rPr>
          <w:lang w:val="en-US"/>
        </w:rPr>
        <w:t xml:space="preserve"> </w:t>
      </w:r>
      <w:r w:rsidRPr="00815B0D">
        <w:rPr>
          <w:lang w:val="en-US"/>
        </w:rPr>
        <w:t xml:space="preserve">Climate Agreement (coal extraction, oil, </w:t>
      </w:r>
      <w:proofErr w:type="spellStart"/>
      <w:r w:rsidRPr="00815B0D">
        <w:rPr>
          <w:lang w:val="en-US"/>
        </w:rPr>
        <w:t>etc</w:t>
      </w:r>
      <w:proofErr w:type="spellEnd"/>
      <w:r w:rsidRPr="00815B0D">
        <w:rPr>
          <w:lang w:val="en-US"/>
        </w:rPr>
        <w:t>). Those exclusions are provided for in Art. 12 (1) (a)-(g) of</w:t>
      </w:r>
      <w:r>
        <w:rPr>
          <w:lang w:val="en-US"/>
        </w:rPr>
        <w:t xml:space="preserve"> </w:t>
      </w:r>
      <w:r w:rsidRPr="00815B0D">
        <w:rPr>
          <w:lang w:val="en-US"/>
        </w:rPr>
        <w:t>the Commission Delegated Regulation (EU) 2020/1818 of 17 July 2020 supplementing Regulation (EU)</w:t>
      </w:r>
      <w:r w:rsidRPr="00815B0D">
        <w:rPr>
          <w:lang w:val="en-US"/>
        </w:rPr>
        <w:t xml:space="preserve"> </w:t>
      </w:r>
      <w:r w:rsidRPr="00815B0D">
        <w:rPr>
          <w:lang w:val="en-US"/>
        </w:rPr>
        <w:t>2016/1011 of the European Parliament and of the Council as regards minimum standards for EU</w:t>
      </w:r>
      <w:r>
        <w:rPr>
          <w:lang w:val="en-US"/>
        </w:rPr>
        <w:t xml:space="preserve"> </w:t>
      </w:r>
      <w:r w:rsidRPr="00815B0D">
        <w:rPr>
          <w:lang w:val="en-US"/>
        </w:rPr>
        <w:t>Climate Transition Benchmarks and EU Paris-aligned Benchmarks. For further information please refer</w:t>
      </w:r>
      <w:r>
        <w:rPr>
          <w:lang w:val="en-US"/>
        </w:rPr>
        <w:t xml:space="preserve"> </w:t>
      </w:r>
      <w:r w:rsidRPr="00815B0D">
        <w:rPr>
          <w:lang w:val="en-US"/>
        </w:rPr>
        <w:t>to the "Guidelines on funds' names using ESG or sustainability-related terms" section of the</w:t>
      </w:r>
      <w:r>
        <w:rPr>
          <w:lang w:val="en-US"/>
        </w:rPr>
        <w:t xml:space="preserve"> </w:t>
      </w:r>
      <w:r w:rsidRPr="00815B0D">
        <w:rPr>
          <w:lang w:val="en-US"/>
        </w:rPr>
        <w:t>Prospectus.</w:t>
      </w:r>
    </w:p>
    <w:p w14:paraId="56D7B633" w14:textId="161DECB4" w:rsidR="00F03360" w:rsidRPr="00F03360" w:rsidRDefault="001A1570" w:rsidP="00815B0D">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 xml:space="preserve">Each corporate security (shares, bonds, single name derivatives, ESG equity and fixed income ETFs) included in investment portfolios has been assessed for good governance practices applying a </w:t>
      </w:r>
      <w:r w:rsidRPr="00F03360">
        <w:rPr>
          <w:lang w:val="en-US"/>
        </w:rPr>
        <w:lastRenderedPageBreak/>
        <w:t>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1FE86210" w14:textId="4FF837A2" w:rsidR="00254F38" w:rsidRDefault="00B771E4" w:rsidP="00B771E4">
      <w:pPr>
        <w:jc w:val="both"/>
        <w:rPr>
          <w:lang w:val="en-US"/>
        </w:rPr>
      </w:pPr>
      <w:r w:rsidRPr="00B771E4">
        <w:rPr>
          <w:lang w:val="en-US"/>
        </w:rPr>
        <w:t>At least 90% of the Sub-Fund's securities and instruments will meet the promoted environmental or social</w:t>
      </w:r>
      <w:r>
        <w:rPr>
          <w:lang w:val="en-US"/>
        </w:rPr>
        <w:t xml:space="preserve"> </w:t>
      </w:r>
      <w:r w:rsidRPr="00B771E4">
        <w:rPr>
          <w:lang w:val="en-US"/>
        </w:rPr>
        <w:t>characteristics in accordance with the binding elements of the Index methodology. Furthermore, the</w:t>
      </w:r>
      <w:r>
        <w:rPr>
          <w:lang w:val="en-US"/>
        </w:rPr>
        <w:t xml:space="preserve"> </w:t>
      </w:r>
      <w:r w:rsidRPr="00B771E4">
        <w:rPr>
          <w:lang w:val="en-US"/>
        </w:rPr>
        <w:t>Sub-Fund commits to have a minimum of 1 % of sustainable investments as per the below chart.</w:t>
      </w:r>
      <w:r>
        <w:rPr>
          <w:lang w:val="en-US"/>
        </w:rPr>
        <w:t xml:space="preserve"> </w:t>
      </w:r>
      <w:r w:rsidRPr="00B771E4">
        <w:rPr>
          <w:lang w:val="en-US"/>
        </w:rPr>
        <w:t>Investments aligned with other E/S characteristics (#1B) will represent the difference between the actual</w:t>
      </w:r>
      <w:r>
        <w:rPr>
          <w:lang w:val="en-US"/>
        </w:rPr>
        <w:t xml:space="preserve"> </w:t>
      </w:r>
      <w:r w:rsidRPr="00B771E4">
        <w:rPr>
          <w:lang w:val="en-US"/>
        </w:rPr>
        <w:t>proportion of investments aligned with environmental or social characteristics (#1) and the actual</w:t>
      </w:r>
      <w:r>
        <w:rPr>
          <w:lang w:val="en-US"/>
        </w:rPr>
        <w:t xml:space="preserve"> </w:t>
      </w:r>
      <w:r w:rsidRPr="00B771E4">
        <w:rPr>
          <w:lang w:val="en-US"/>
        </w:rPr>
        <w:t>proportion of sustainable investments (#1A).The planned proportion of other environmental investment</w:t>
      </w:r>
      <w:r>
        <w:rPr>
          <w:lang w:val="en-US"/>
        </w:rPr>
        <w:t xml:space="preserve"> </w:t>
      </w:r>
      <w:r w:rsidRPr="00B771E4">
        <w:rPr>
          <w:lang w:val="en-US"/>
        </w:rPr>
        <w:t>represents a minimum of 1 % (</w:t>
      </w:r>
      <w:proofErr w:type="spellStart"/>
      <w:r w:rsidRPr="00B771E4">
        <w:rPr>
          <w:lang w:val="en-US"/>
        </w:rPr>
        <w:t>i</w:t>
      </w:r>
      <w:proofErr w:type="spellEnd"/>
      <w:r w:rsidRPr="00B771E4">
        <w:rPr>
          <w:lang w:val="en-US"/>
        </w:rPr>
        <w:t>) and may change as the actual proportions of Taxonomy-aligned and/or</w:t>
      </w:r>
      <w:r>
        <w:rPr>
          <w:lang w:val="en-US"/>
        </w:rPr>
        <w:t xml:space="preserve"> </w:t>
      </w:r>
      <w:r w:rsidRPr="00B771E4">
        <w:rPr>
          <w:lang w:val="en-US"/>
        </w:rPr>
        <w:t>Social investments increase.</w:t>
      </w:r>
    </w:p>
    <w:p w14:paraId="10DEC493" w14:textId="77777777" w:rsidR="00B771E4" w:rsidRPr="00C2259E" w:rsidRDefault="00B771E4" w:rsidP="00B771E4">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lastRenderedPageBreak/>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3069EFD8" w14:textId="77777777" w:rsidR="007013FB" w:rsidRPr="007013FB" w:rsidRDefault="007013FB" w:rsidP="007013FB">
      <w:pPr>
        <w:tabs>
          <w:tab w:val="num" w:pos="1560"/>
        </w:tabs>
        <w:spacing w:after="0"/>
        <w:jc w:val="both"/>
        <w:rPr>
          <w:lang w:val="en-US"/>
        </w:rPr>
      </w:pPr>
      <w:r w:rsidRPr="007013FB">
        <w:rPr>
          <w:lang w:val="en-US"/>
        </w:rPr>
        <w:t>The Index offers exposure to the high yield corporate bond market denominated in USD, EUR and</w:t>
      </w:r>
    </w:p>
    <w:p w14:paraId="6B22F8CC" w14:textId="77777777" w:rsidR="007013FB" w:rsidRPr="007013FB" w:rsidRDefault="007013FB" w:rsidP="007013FB">
      <w:pPr>
        <w:tabs>
          <w:tab w:val="num" w:pos="1560"/>
        </w:tabs>
        <w:spacing w:after="0"/>
        <w:jc w:val="both"/>
        <w:rPr>
          <w:lang w:val="en-US"/>
        </w:rPr>
      </w:pPr>
      <w:r w:rsidRPr="007013FB">
        <w:rPr>
          <w:lang w:val="en-US"/>
        </w:rPr>
        <w:t>GBP.</w:t>
      </w:r>
    </w:p>
    <w:p w14:paraId="37AFA751" w14:textId="77777777" w:rsidR="007013FB" w:rsidRPr="007013FB" w:rsidRDefault="007013FB" w:rsidP="007013FB">
      <w:pPr>
        <w:tabs>
          <w:tab w:val="num" w:pos="1560"/>
        </w:tabs>
        <w:spacing w:after="0"/>
        <w:jc w:val="both"/>
        <w:rPr>
          <w:lang w:val="en-US"/>
        </w:rPr>
      </w:pPr>
      <w:r w:rsidRPr="007013FB">
        <w:rPr>
          <w:lang w:val="en-US"/>
        </w:rPr>
        <w:t>This index is based on the Bloomberg Global High Yield Corporate Index (the "Parent Index") and</w:t>
      </w:r>
    </w:p>
    <w:p w14:paraId="68B295FB" w14:textId="77777777" w:rsidR="007013FB" w:rsidRPr="007013FB" w:rsidRDefault="007013FB" w:rsidP="007013FB">
      <w:pPr>
        <w:tabs>
          <w:tab w:val="num" w:pos="1560"/>
        </w:tabs>
        <w:spacing w:after="0"/>
        <w:jc w:val="both"/>
        <w:rPr>
          <w:lang w:val="en-US"/>
        </w:rPr>
      </w:pPr>
      <w:r w:rsidRPr="007013FB">
        <w:rPr>
          <w:lang w:val="en-US"/>
        </w:rPr>
        <w:t>applies additional criteria to include issuers with MSCI ESG Ratings of BBB or higher and negatively</w:t>
      </w:r>
    </w:p>
    <w:p w14:paraId="2630A9EF" w14:textId="77777777" w:rsidR="007013FB" w:rsidRPr="007013FB" w:rsidRDefault="007013FB" w:rsidP="007013FB">
      <w:pPr>
        <w:tabs>
          <w:tab w:val="num" w:pos="1560"/>
        </w:tabs>
        <w:spacing w:after="0"/>
        <w:jc w:val="both"/>
        <w:rPr>
          <w:lang w:val="en-US"/>
        </w:rPr>
      </w:pPr>
      <w:r w:rsidRPr="007013FB">
        <w:rPr>
          <w:lang w:val="en-US"/>
        </w:rPr>
        <w:t>screens issuers that are involved in business activities that are restricted according to pre-defined</w:t>
      </w:r>
    </w:p>
    <w:p w14:paraId="3515C42E" w14:textId="77777777" w:rsidR="007013FB" w:rsidRDefault="007013FB" w:rsidP="007013FB">
      <w:pPr>
        <w:tabs>
          <w:tab w:val="num" w:pos="1560"/>
        </w:tabs>
        <w:spacing w:after="0"/>
        <w:jc w:val="both"/>
        <w:rPr>
          <w:lang w:val="en-US"/>
        </w:rPr>
      </w:pPr>
      <w:r w:rsidRPr="007013FB">
        <w:rPr>
          <w:lang w:val="en-US"/>
        </w:rPr>
        <w:t>Business Involvement Screens and issuers with a "Red" MSCI ESG Controversy Score.</w:t>
      </w:r>
    </w:p>
    <w:p w14:paraId="1E937640" w14:textId="4A7C2AF2" w:rsidR="001478C5" w:rsidRPr="009D4D38" w:rsidRDefault="007013FB" w:rsidP="007013FB">
      <w:pPr>
        <w:tabs>
          <w:tab w:val="num" w:pos="1560"/>
        </w:tabs>
        <w:spacing w:after="0"/>
        <w:jc w:val="both"/>
        <w:rPr>
          <w:lang w:val="en-US"/>
        </w:rPr>
      </w:pPr>
      <w:r w:rsidRPr="007013FB">
        <w:rPr>
          <w:lang w:val="en-US"/>
        </w:rPr>
        <w:t>Additional information on the Index can be found at :</w:t>
      </w:r>
      <w:r>
        <w:rPr>
          <w:lang w:val="en-US"/>
        </w:rPr>
        <w:t xml:space="preserve"> </w:t>
      </w:r>
      <w:r w:rsidRPr="007013FB">
        <w:rPr>
          <w:lang w:val="en-US"/>
        </w:rPr>
        <w:t>www.Bloomberg.com</w:t>
      </w:r>
    </w:p>
    <w:sectPr w:rsidR="001478C5" w:rsidRPr="009D4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17E54"/>
    <w:rsid w:val="00091FFF"/>
    <w:rsid w:val="000975C6"/>
    <w:rsid w:val="000A4432"/>
    <w:rsid w:val="000E3C3A"/>
    <w:rsid w:val="00103686"/>
    <w:rsid w:val="0012542D"/>
    <w:rsid w:val="001346F6"/>
    <w:rsid w:val="001407E3"/>
    <w:rsid w:val="001478C5"/>
    <w:rsid w:val="001510FB"/>
    <w:rsid w:val="001720F2"/>
    <w:rsid w:val="001A1570"/>
    <w:rsid w:val="001A4E68"/>
    <w:rsid w:val="001B13EB"/>
    <w:rsid w:val="00220A88"/>
    <w:rsid w:val="002473A3"/>
    <w:rsid w:val="00252E7E"/>
    <w:rsid w:val="00254F38"/>
    <w:rsid w:val="002571B9"/>
    <w:rsid w:val="00260872"/>
    <w:rsid w:val="002E4966"/>
    <w:rsid w:val="002E5E0A"/>
    <w:rsid w:val="00325BC8"/>
    <w:rsid w:val="0033164A"/>
    <w:rsid w:val="003424AD"/>
    <w:rsid w:val="0035612E"/>
    <w:rsid w:val="003745AC"/>
    <w:rsid w:val="00395D8D"/>
    <w:rsid w:val="003A5B9D"/>
    <w:rsid w:val="003C68FA"/>
    <w:rsid w:val="003E7FC1"/>
    <w:rsid w:val="003F0A0C"/>
    <w:rsid w:val="004151F2"/>
    <w:rsid w:val="0041713B"/>
    <w:rsid w:val="0042053C"/>
    <w:rsid w:val="00432E0E"/>
    <w:rsid w:val="00485614"/>
    <w:rsid w:val="00492750"/>
    <w:rsid w:val="004E707D"/>
    <w:rsid w:val="005324D2"/>
    <w:rsid w:val="00540C2B"/>
    <w:rsid w:val="005623A1"/>
    <w:rsid w:val="00570448"/>
    <w:rsid w:val="005804D7"/>
    <w:rsid w:val="005B0C03"/>
    <w:rsid w:val="005E1D0B"/>
    <w:rsid w:val="005F241D"/>
    <w:rsid w:val="005F6C0F"/>
    <w:rsid w:val="0060705D"/>
    <w:rsid w:val="00613FBC"/>
    <w:rsid w:val="0064653C"/>
    <w:rsid w:val="00671851"/>
    <w:rsid w:val="006C2A16"/>
    <w:rsid w:val="007013FB"/>
    <w:rsid w:val="00705AA3"/>
    <w:rsid w:val="007528F2"/>
    <w:rsid w:val="00774DA0"/>
    <w:rsid w:val="007871A0"/>
    <w:rsid w:val="007C5B2B"/>
    <w:rsid w:val="007D1B02"/>
    <w:rsid w:val="00815B0D"/>
    <w:rsid w:val="00826382"/>
    <w:rsid w:val="008309FE"/>
    <w:rsid w:val="008F3945"/>
    <w:rsid w:val="00906190"/>
    <w:rsid w:val="00921654"/>
    <w:rsid w:val="009479E0"/>
    <w:rsid w:val="009735EA"/>
    <w:rsid w:val="009D31E9"/>
    <w:rsid w:val="009D4D38"/>
    <w:rsid w:val="00A3020F"/>
    <w:rsid w:val="00A70259"/>
    <w:rsid w:val="00A9194B"/>
    <w:rsid w:val="00AF70F4"/>
    <w:rsid w:val="00B227D6"/>
    <w:rsid w:val="00B363AE"/>
    <w:rsid w:val="00B771E4"/>
    <w:rsid w:val="00BB16B6"/>
    <w:rsid w:val="00C03250"/>
    <w:rsid w:val="00C15A78"/>
    <w:rsid w:val="00C2259E"/>
    <w:rsid w:val="00C348D9"/>
    <w:rsid w:val="00CB6D7C"/>
    <w:rsid w:val="00CC3FA8"/>
    <w:rsid w:val="00CF056D"/>
    <w:rsid w:val="00D2174C"/>
    <w:rsid w:val="00D22BB1"/>
    <w:rsid w:val="00D8366E"/>
    <w:rsid w:val="00D908C4"/>
    <w:rsid w:val="00D972CF"/>
    <w:rsid w:val="00DA1CE3"/>
    <w:rsid w:val="00DB716A"/>
    <w:rsid w:val="00DD5480"/>
    <w:rsid w:val="00E069DC"/>
    <w:rsid w:val="00E52A88"/>
    <w:rsid w:val="00E66648"/>
    <w:rsid w:val="00E72F77"/>
    <w:rsid w:val="00E7432D"/>
    <w:rsid w:val="00E77637"/>
    <w:rsid w:val="00E87775"/>
    <w:rsid w:val="00E93383"/>
    <w:rsid w:val="00EC10E8"/>
    <w:rsid w:val="00EF19FB"/>
    <w:rsid w:val="00F03360"/>
    <w:rsid w:val="00F6179F"/>
    <w:rsid w:val="00F66EA8"/>
    <w:rsid w:val="00F92E11"/>
    <w:rsid w:val="00FC3984"/>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2755</Words>
  <Characters>16339</Characters>
  <Application>Microsoft Office Word</Application>
  <DocSecurity>0</DocSecurity>
  <Lines>961</Lines>
  <Paragraphs>658</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75</cp:revision>
  <dcterms:created xsi:type="dcterms:W3CDTF">2022-11-23T07:47:00Z</dcterms:created>
  <dcterms:modified xsi:type="dcterms:W3CDTF">2025-04-24T15:12:00Z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