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16E000F0" w:rsidR="005E1D0B" w:rsidRPr="00AE13A1" w:rsidRDefault="00AE13A1" w:rsidP="003D7A6E">
            <w:pPr>
              <w:ind w:left="-101" w:right="-851"/>
              <w:jc w:val="both"/>
              <w:rPr>
                <w:lang w:val="en-US"/>
              </w:rPr>
            </w:pPr>
            <w:r w:rsidRPr="00AE13A1">
              <w:rPr>
                <w:lang w:val="en-US"/>
              </w:rPr>
              <w:t>Amundi S&amp;P Eurozone Dividend Aristocrat Screened</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375DF8D2" w:rsidR="005E1D0B" w:rsidRPr="007528F2" w:rsidRDefault="00AE13A1" w:rsidP="003F0A0C">
            <w:pPr>
              <w:ind w:right="-851"/>
              <w:rPr>
                <w:lang w:val="it-IT"/>
              </w:rPr>
            </w:pPr>
            <w:r w:rsidRPr="00AE13A1">
              <w:rPr>
                <w:lang w:val="it-IT"/>
              </w:rPr>
              <w:t>549300JDVXJULA4ZPW45</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7F53D1EF" w14:textId="1E8E4CC9" w:rsidR="008262F3" w:rsidRDefault="00AE13A1" w:rsidP="00AE13A1">
      <w:pPr>
        <w:jc w:val="both"/>
        <w:rPr>
          <w:lang w:val="en-IE"/>
        </w:rPr>
      </w:pPr>
      <w:r w:rsidRPr="00AE13A1">
        <w:rPr>
          <w:lang w:val="en-IE"/>
        </w:rPr>
        <w:t>The Sub-Fund promotes environmental and/or social characteristics through among others,</w:t>
      </w:r>
      <w:r>
        <w:rPr>
          <w:lang w:val="en-IE"/>
        </w:rPr>
        <w:t xml:space="preserve"> </w:t>
      </w:r>
      <w:r w:rsidRPr="00AE13A1">
        <w:rPr>
          <w:lang w:val="en-IE"/>
        </w:rPr>
        <w:t>replicating an Index integrating an environmental, social and governance (“ESG”) rating. The</w:t>
      </w:r>
      <w:r>
        <w:rPr>
          <w:lang w:val="en-IE"/>
        </w:rPr>
        <w:t xml:space="preserve"> </w:t>
      </w:r>
      <w:r w:rsidRPr="00AE13A1">
        <w:rPr>
          <w:lang w:val="en-IE"/>
        </w:rPr>
        <w:t>Index methodology is constructed using a “Best-in-class approach”: best ranked companies are</w:t>
      </w:r>
      <w:r>
        <w:rPr>
          <w:lang w:val="en-IE"/>
        </w:rPr>
        <w:t xml:space="preserve"> </w:t>
      </w:r>
      <w:r w:rsidRPr="00AE13A1">
        <w:rPr>
          <w:lang w:val="en-IE"/>
        </w:rPr>
        <w:t>selected to construct the Index. “Best-in-class” is an approach where leading or best-performing</w:t>
      </w:r>
      <w:r>
        <w:rPr>
          <w:lang w:val="en-IE"/>
        </w:rPr>
        <w:t xml:space="preserve"> </w:t>
      </w:r>
      <w:r w:rsidRPr="00AE13A1">
        <w:rPr>
          <w:lang w:val="en-IE"/>
        </w:rPr>
        <w:t>investments are selected within a universe, industry sector or class. Using such Best-in-class</w:t>
      </w:r>
      <w:r>
        <w:rPr>
          <w:lang w:val="en-IE"/>
        </w:rPr>
        <w:t xml:space="preserve"> </w:t>
      </w:r>
      <w:r w:rsidRPr="00AE13A1">
        <w:rPr>
          <w:lang w:val="en-IE"/>
        </w:rPr>
        <w:t>approach, the Index follows an extra-financial approach significantly engaging that permits the</w:t>
      </w:r>
      <w:r>
        <w:rPr>
          <w:lang w:val="en-IE"/>
        </w:rPr>
        <w:t xml:space="preserve"> </w:t>
      </w:r>
      <w:r w:rsidRPr="00AE13A1">
        <w:rPr>
          <w:lang w:val="en-IE"/>
        </w:rPr>
        <w:t>reduction by at least 20% of the initial investment universe (expressed in number of issuers).</w:t>
      </w:r>
    </w:p>
    <w:p w14:paraId="2D015730" w14:textId="77777777" w:rsidR="00AE13A1" w:rsidRPr="00A3536B" w:rsidRDefault="00AE13A1" w:rsidP="00AE13A1">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173F543D" w14:textId="0683AFD9" w:rsidR="007F195F" w:rsidRDefault="007F195F" w:rsidP="007F195F">
      <w:pPr>
        <w:jc w:val="both"/>
        <w:rPr>
          <w:lang w:val="en-US"/>
        </w:rPr>
      </w:pPr>
      <w:r w:rsidRPr="007F195F">
        <w:rPr>
          <w:lang w:val="en-US"/>
        </w:rPr>
        <w:t>The Sub-Fund tracks the performance of “S&amp;P Euro High Yield Dividend Aristocrats Screened</w:t>
      </w:r>
      <w:r>
        <w:rPr>
          <w:lang w:val="en-US"/>
        </w:rPr>
        <w:t xml:space="preserve"> </w:t>
      </w:r>
      <w:r w:rsidRPr="007F195F">
        <w:rPr>
          <w:lang w:val="en-US"/>
        </w:rPr>
        <w:t xml:space="preserve">Index” (the "Index") denominated in Euros - while </w:t>
      </w:r>
      <w:proofErr w:type="spellStart"/>
      <w:r w:rsidRPr="007F195F">
        <w:rPr>
          <w:lang w:val="en-US"/>
        </w:rPr>
        <w:t>minimising</w:t>
      </w:r>
      <w:proofErr w:type="spellEnd"/>
      <w:r w:rsidRPr="007F195F">
        <w:rPr>
          <w:lang w:val="en-US"/>
        </w:rPr>
        <w:t xml:space="preserve"> the volatility of the difference</w:t>
      </w:r>
      <w:r>
        <w:rPr>
          <w:lang w:val="en-US"/>
        </w:rPr>
        <w:t xml:space="preserve"> </w:t>
      </w:r>
      <w:r w:rsidRPr="007F195F">
        <w:rPr>
          <w:lang w:val="en-US"/>
        </w:rPr>
        <w:t>between the return of the Sub-Fund and the return of the Index. The Index measures the</w:t>
      </w:r>
      <w:r>
        <w:rPr>
          <w:lang w:val="en-US"/>
        </w:rPr>
        <w:t xml:space="preserve"> </w:t>
      </w:r>
      <w:r w:rsidRPr="007F195F">
        <w:rPr>
          <w:lang w:val="en-US"/>
        </w:rPr>
        <w:t>performance of 40 high dividend-yielding and ESG-scoring companies from the S&amp;P Europe</w:t>
      </w:r>
      <w:r>
        <w:rPr>
          <w:lang w:val="en-US"/>
        </w:rPr>
        <w:t xml:space="preserve"> </w:t>
      </w:r>
      <w:r w:rsidRPr="007F195F">
        <w:rPr>
          <w:lang w:val="en-US"/>
        </w:rPr>
        <w:t>BMI (the “Parent Index”) with an Eurozone country classification.</w:t>
      </w:r>
    </w:p>
    <w:p w14:paraId="5C947E14" w14:textId="7AE8719B" w:rsidR="007F195F" w:rsidRPr="007F195F" w:rsidRDefault="007F195F" w:rsidP="007F195F">
      <w:pPr>
        <w:jc w:val="both"/>
        <w:rPr>
          <w:lang w:val="en-US"/>
        </w:rPr>
      </w:pPr>
      <w:r w:rsidRPr="007F195F">
        <w:rPr>
          <w:lang w:val="en-US"/>
        </w:rPr>
        <w:t>This is a passively managed ETF. Its investment strategy is to replicate the Index while minimizing the</w:t>
      </w:r>
      <w:r>
        <w:rPr>
          <w:lang w:val="en-US"/>
        </w:rPr>
        <w:t xml:space="preserve"> </w:t>
      </w:r>
      <w:r w:rsidRPr="007F195F">
        <w:rPr>
          <w:lang w:val="en-US"/>
        </w:rPr>
        <w:t>related tracking error. The Index features the following characteristics:</w:t>
      </w:r>
    </w:p>
    <w:p w14:paraId="15DDD95A" w14:textId="787F70DD" w:rsidR="007F195F" w:rsidRDefault="007F195F" w:rsidP="007F195F">
      <w:pPr>
        <w:jc w:val="both"/>
        <w:rPr>
          <w:lang w:val="en-US"/>
        </w:rPr>
      </w:pPr>
      <w:r w:rsidRPr="007F195F">
        <w:rPr>
          <w:lang w:val="en-US"/>
        </w:rPr>
        <w:t>a) Exclusions based on an ESG score: to be eligible, companies must have an Global ESG Scores (as</w:t>
      </w:r>
      <w:r>
        <w:rPr>
          <w:lang w:val="en-US"/>
        </w:rPr>
        <w:t xml:space="preserve"> </w:t>
      </w:r>
      <w:r w:rsidRPr="007F195F">
        <w:rPr>
          <w:lang w:val="en-US"/>
        </w:rPr>
        <w:t>defined in the methodology of the Index). Global ESG Scores methodology provides Environmental,</w:t>
      </w:r>
      <w:r>
        <w:rPr>
          <w:lang w:val="en-US"/>
        </w:rPr>
        <w:t xml:space="preserve"> </w:t>
      </w:r>
      <w:r w:rsidRPr="007F195F">
        <w:rPr>
          <w:lang w:val="en-US"/>
        </w:rPr>
        <w:t>Social, and Governance (“ESG”) scores that robustly measure companies’ financially material ESG</w:t>
      </w:r>
      <w:r>
        <w:rPr>
          <w:lang w:val="en-US"/>
        </w:rPr>
        <w:t xml:space="preserve"> </w:t>
      </w:r>
      <w:r w:rsidRPr="007F195F">
        <w:rPr>
          <w:lang w:val="en-US"/>
        </w:rPr>
        <w:t>factors. The S&amp;P Global ESG scores is the aggregation of three dimension-level scores: Environmental,</w:t>
      </w:r>
      <w:r>
        <w:rPr>
          <w:lang w:val="en-US"/>
        </w:rPr>
        <w:t xml:space="preserve"> </w:t>
      </w:r>
      <w:r w:rsidRPr="007F195F">
        <w:rPr>
          <w:lang w:val="en-US"/>
        </w:rPr>
        <w:t>Social and Governance &amp; Economics.</w:t>
      </w:r>
    </w:p>
    <w:p w14:paraId="5C06CB75" w14:textId="1B93184A" w:rsidR="007F195F" w:rsidRPr="007F195F" w:rsidRDefault="007F195F" w:rsidP="007F195F">
      <w:pPr>
        <w:jc w:val="both"/>
        <w:rPr>
          <w:lang w:val="en-US"/>
        </w:rPr>
      </w:pPr>
      <w:r w:rsidRPr="007F195F">
        <w:rPr>
          <w:lang w:val="en-US"/>
        </w:rPr>
        <w:lastRenderedPageBreak/>
        <w:t>Through an analysis of ESG factors, the methodology aims to identify companies within the Eligible</w:t>
      </w:r>
      <w:r>
        <w:rPr>
          <w:lang w:val="en-US"/>
        </w:rPr>
        <w:t xml:space="preserve"> </w:t>
      </w:r>
      <w:r w:rsidRPr="007F195F">
        <w:rPr>
          <w:lang w:val="en-US"/>
        </w:rPr>
        <w:t>Universe that are well-equipped to recognize and respond to emerging sustainability opportunities and</w:t>
      </w:r>
      <w:r>
        <w:rPr>
          <w:lang w:val="en-US"/>
        </w:rPr>
        <w:t xml:space="preserve"> </w:t>
      </w:r>
      <w:r w:rsidRPr="007F195F">
        <w:rPr>
          <w:lang w:val="en-US"/>
        </w:rPr>
        <w:t>challenges in the global market.</w:t>
      </w:r>
    </w:p>
    <w:p w14:paraId="38101116" w14:textId="491BAA65" w:rsidR="007F195F" w:rsidRPr="007F195F" w:rsidRDefault="007F195F" w:rsidP="007F195F">
      <w:pPr>
        <w:jc w:val="both"/>
        <w:rPr>
          <w:lang w:val="en-US"/>
        </w:rPr>
      </w:pPr>
      <w:r w:rsidRPr="007F195F">
        <w:rPr>
          <w:lang w:val="en-US"/>
        </w:rPr>
        <w:t>A full set of ESG indicators including but not limited to corporate governance, environmental reporting</w:t>
      </w:r>
      <w:r>
        <w:rPr>
          <w:lang w:val="en-US"/>
        </w:rPr>
        <w:t xml:space="preserve"> </w:t>
      </w:r>
      <w:r w:rsidRPr="007F195F">
        <w:rPr>
          <w:lang w:val="en-US"/>
        </w:rPr>
        <w:t>and labor practice indicators are calculated for each company covering various sustainability topics.</w:t>
      </w:r>
      <w:r>
        <w:rPr>
          <w:lang w:val="en-US"/>
        </w:rPr>
        <w:t xml:space="preserve"> </w:t>
      </w:r>
      <w:r w:rsidRPr="007F195F">
        <w:rPr>
          <w:lang w:val="en-US"/>
        </w:rPr>
        <w:t>Within each industry, each indicator has a different weight in the final ESG score calculation. For any</w:t>
      </w:r>
      <w:r>
        <w:rPr>
          <w:lang w:val="en-US"/>
        </w:rPr>
        <w:t xml:space="preserve"> </w:t>
      </w:r>
      <w:r w:rsidRPr="007F195F">
        <w:rPr>
          <w:lang w:val="en-US"/>
        </w:rPr>
        <w:t>information about Global ESG Scores methodology, please refer to</w:t>
      </w:r>
      <w:r>
        <w:rPr>
          <w:lang w:val="en-US"/>
        </w:rPr>
        <w:t xml:space="preserve"> </w:t>
      </w:r>
      <w:r w:rsidRPr="007F195F">
        <w:rPr>
          <w:lang w:val="en-US"/>
        </w:rPr>
        <w:t>https://www.spglobal.com/spdji/en/landing/investment-themes/esg-scores/.</w:t>
      </w:r>
    </w:p>
    <w:p w14:paraId="7B22DA04" w14:textId="3110810C" w:rsidR="007F195F" w:rsidRPr="007F195F" w:rsidRDefault="007F195F" w:rsidP="007F195F">
      <w:pPr>
        <w:jc w:val="both"/>
        <w:rPr>
          <w:lang w:val="en-US"/>
        </w:rPr>
      </w:pPr>
      <w:r w:rsidRPr="007F195F">
        <w:rPr>
          <w:lang w:val="en-US"/>
        </w:rPr>
        <w:t>The lowest 25% companies ranked in term of Global ESG Scores within the Eligible Universe are</w:t>
      </w:r>
      <w:r>
        <w:rPr>
          <w:lang w:val="en-US"/>
        </w:rPr>
        <w:t xml:space="preserve"> </w:t>
      </w:r>
      <w:r w:rsidRPr="007F195F">
        <w:rPr>
          <w:lang w:val="en-US"/>
        </w:rPr>
        <w:t>excluded from the Index. Using such best-in-universe approach, the Sub-Fund follows an extra-financial</w:t>
      </w:r>
      <w:r>
        <w:rPr>
          <w:lang w:val="en-US"/>
        </w:rPr>
        <w:t xml:space="preserve"> </w:t>
      </w:r>
      <w:r w:rsidRPr="007F195F">
        <w:rPr>
          <w:lang w:val="en-US"/>
        </w:rPr>
        <w:t>approach significantly engaging. The extra financial data coverage is at least 90% of the eligible equity</w:t>
      </w:r>
      <w:r>
        <w:rPr>
          <w:lang w:val="en-US"/>
        </w:rPr>
        <w:t xml:space="preserve"> </w:t>
      </w:r>
      <w:r w:rsidRPr="007F195F">
        <w:rPr>
          <w:lang w:val="en-US"/>
        </w:rPr>
        <w:t>securities of the Index.</w:t>
      </w:r>
    </w:p>
    <w:p w14:paraId="00F3D69D" w14:textId="10AA484A" w:rsidR="007F195F" w:rsidRPr="007F195F" w:rsidRDefault="007F195F" w:rsidP="007F195F">
      <w:pPr>
        <w:jc w:val="both"/>
        <w:rPr>
          <w:lang w:val="en-US"/>
        </w:rPr>
      </w:pPr>
      <w:r w:rsidRPr="007F195F">
        <w:rPr>
          <w:lang w:val="en-US"/>
        </w:rPr>
        <w:t>b) Value-based exclusions from the following activities: controversial weapons, thermal coal and</w:t>
      </w:r>
      <w:r>
        <w:rPr>
          <w:lang w:val="en-US"/>
        </w:rPr>
        <w:t xml:space="preserve"> </w:t>
      </w:r>
      <w:r w:rsidRPr="007F195F">
        <w:rPr>
          <w:lang w:val="en-US"/>
        </w:rPr>
        <w:t>tobacco products .</w:t>
      </w:r>
    </w:p>
    <w:p w14:paraId="257CF0A6" w14:textId="77777777" w:rsidR="007F195F" w:rsidRPr="007F195F" w:rsidRDefault="007F195F" w:rsidP="007F195F">
      <w:pPr>
        <w:jc w:val="both"/>
        <w:rPr>
          <w:lang w:val="en-US"/>
        </w:rPr>
      </w:pPr>
      <w:r w:rsidRPr="007F195F">
        <w:rPr>
          <w:lang w:val="en-US"/>
        </w:rPr>
        <w:t>c) Exclusions based on a United Nations Global Compact (UNGC) classification:</w:t>
      </w:r>
    </w:p>
    <w:p w14:paraId="3DA7D822" w14:textId="52AA0C1A" w:rsidR="007F195F" w:rsidRPr="007F195F" w:rsidRDefault="007F195F" w:rsidP="007F195F">
      <w:pPr>
        <w:jc w:val="both"/>
        <w:rPr>
          <w:lang w:val="en-US"/>
        </w:rPr>
      </w:pPr>
      <w:r w:rsidRPr="007F195F">
        <w:rPr>
          <w:lang w:val="en-US"/>
        </w:rPr>
        <w:t>The UNGC classification is based on the UNGC Principles and its associated standards, treaties and</w:t>
      </w:r>
      <w:r>
        <w:rPr>
          <w:lang w:val="en-US"/>
        </w:rPr>
        <w:t xml:space="preserve"> </w:t>
      </w:r>
      <w:r w:rsidRPr="007F195F">
        <w:rPr>
          <w:lang w:val="en-US"/>
        </w:rPr>
        <w:t>conventions. The methodology of the Index excludes all companies (</w:t>
      </w:r>
      <w:proofErr w:type="spellStart"/>
      <w:r w:rsidRPr="007F195F">
        <w:rPr>
          <w:lang w:val="en-US"/>
        </w:rPr>
        <w:t>i</w:t>
      </w:r>
      <w:proofErr w:type="spellEnd"/>
      <w:r w:rsidRPr="007F195F">
        <w:rPr>
          <w:lang w:val="en-US"/>
        </w:rPr>
        <w:t>) without coverage and (ii) all</w:t>
      </w:r>
      <w:r>
        <w:rPr>
          <w:lang w:val="en-US"/>
        </w:rPr>
        <w:t xml:space="preserve"> </w:t>
      </w:r>
      <w:r w:rsidRPr="007F195F">
        <w:rPr>
          <w:lang w:val="en-US"/>
        </w:rPr>
        <w:t>companies that do not act in accordance with the UNGC principles and its associated standards,</w:t>
      </w:r>
      <w:r>
        <w:rPr>
          <w:lang w:val="en-US"/>
        </w:rPr>
        <w:t xml:space="preserve"> </w:t>
      </w:r>
      <w:r w:rsidRPr="007F195F">
        <w:rPr>
          <w:lang w:val="en-US"/>
        </w:rPr>
        <w:t>conventions, and treaties classified as “Non-Compliant” as per the Index methodology.</w:t>
      </w:r>
    </w:p>
    <w:p w14:paraId="1544514C" w14:textId="55CF0FB2" w:rsidR="007F195F" w:rsidRPr="007F195F" w:rsidRDefault="007F195F" w:rsidP="007F195F">
      <w:pPr>
        <w:jc w:val="both"/>
        <w:rPr>
          <w:lang w:val="en-US"/>
        </w:rPr>
      </w:pPr>
      <w:r w:rsidRPr="007F195F">
        <w:rPr>
          <w:lang w:val="en-US"/>
        </w:rPr>
        <w:t>Index constituents are reviewed on a quarterly basis for ongoing eligibility under the value-based</w:t>
      </w:r>
      <w:r>
        <w:rPr>
          <w:lang w:val="en-US"/>
        </w:rPr>
        <w:t xml:space="preserve"> </w:t>
      </w:r>
      <w:r w:rsidRPr="007F195F">
        <w:rPr>
          <w:lang w:val="en-US"/>
        </w:rPr>
        <w:t>exclusions and UNGC exclusion criteria.</w:t>
      </w:r>
    </w:p>
    <w:p w14:paraId="13D73163" w14:textId="56B7A513" w:rsidR="007F195F" w:rsidRDefault="007F195F" w:rsidP="007F195F">
      <w:pPr>
        <w:jc w:val="both"/>
        <w:rPr>
          <w:lang w:val="en-US"/>
        </w:rPr>
      </w:pPr>
      <w:r w:rsidRPr="007F195F">
        <w:rPr>
          <w:lang w:val="en-US"/>
        </w:rPr>
        <w:t>d) Additionally, the methodology of the Index monitors companies’ sustainability performance on an</w:t>
      </w:r>
      <w:r>
        <w:rPr>
          <w:lang w:val="en-US"/>
        </w:rPr>
        <w:t xml:space="preserve"> </w:t>
      </w:r>
      <w:r w:rsidRPr="007F195F">
        <w:rPr>
          <w:lang w:val="en-US"/>
        </w:rPr>
        <w:t>ongoing basis, by assessing current controversies with potentially negative reputational or financial</w:t>
      </w:r>
      <w:r>
        <w:rPr>
          <w:lang w:val="en-US"/>
        </w:rPr>
        <w:t xml:space="preserve"> </w:t>
      </w:r>
      <w:r w:rsidRPr="007F195F">
        <w:rPr>
          <w:lang w:val="en-US"/>
        </w:rPr>
        <w:t>impacts. The latter includes issues such as economic crime or corruption, fraud, illegal commercial</w:t>
      </w:r>
      <w:r>
        <w:rPr>
          <w:lang w:val="en-US"/>
        </w:rPr>
        <w:t xml:space="preserve"> </w:t>
      </w:r>
      <w:r w:rsidRPr="007F195F">
        <w:rPr>
          <w:lang w:val="en-US"/>
        </w:rPr>
        <w:t xml:space="preserve">practices, human rights issues, </w:t>
      </w:r>
      <w:proofErr w:type="spellStart"/>
      <w:r w:rsidRPr="007F195F">
        <w:rPr>
          <w:lang w:val="en-US"/>
        </w:rPr>
        <w:t>labour</w:t>
      </w:r>
      <w:proofErr w:type="spellEnd"/>
      <w:r w:rsidRPr="007F195F">
        <w:rPr>
          <w:lang w:val="en-US"/>
        </w:rPr>
        <w:t xml:space="preserve"> disputes, workplace safety, catastrophic accidents or</w:t>
      </w:r>
      <w:r>
        <w:rPr>
          <w:lang w:val="en-US"/>
        </w:rPr>
        <w:t xml:space="preserve"> </w:t>
      </w:r>
      <w:r w:rsidRPr="007F195F">
        <w:rPr>
          <w:lang w:val="en-US"/>
        </w:rPr>
        <w:t>environmental violations. The Product strategy is also relying on systematic exclusions policies</w:t>
      </w:r>
      <w:r>
        <w:rPr>
          <w:lang w:val="en-US"/>
        </w:rPr>
        <w:t xml:space="preserve"> </w:t>
      </w:r>
      <w:r w:rsidRPr="007F195F">
        <w:rPr>
          <w:lang w:val="en-US"/>
        </w:rPr>
        <w:t xml:space="preserve">(normative and </w:t>
      </w:r>
      <w:proofErr w:type="spellStart"/>
      <w:r w:rsidRPr="007F195F">
        <w:rPr>
          <w:lang w:val="en-US"/>
        </w:rPr>
        <w:t>sectorials</w:t>
      </w:r>
      <w:proofErr w:type="spellEnd"/>
      <w:r w:rsidRPr="007F195F">
        <w:rPr>
          <w:lang w:val="en-US"/>
        </w:rPr>
        <w:t>) as further described in Amundi Global Responsible Investment Policy.</w:t>
      </w:r>
    </w:p>
    <w:p w14:paraId="56D7B633" w14:textId="0C398F69"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lastRenderedPageBreak/>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299D5B4F" w14:textId="77777777" w:rsidR="00340043" w:rsidRDefault="00340043" w:rsidP="00340043">
      <w:pPr>
        <w:jc w:val="both"/>
        <w:rPr>
          <w:lang w:val="en-US"/>
        </w:rPr>
      </w:pPr>
      <w:r w:rsidRPr="00340043">
        <w:rPr>
          <w:lang w:val="en-US"/>
        </w:rPr>
        <w:t>At least 90% of the Sub-Fund’s securities and instruments will meet the promoted environmental or social</w:t>
      </w:r>
      <w:r>
        <w:rPr>
          <w:lang w:val="en-US"/>
        </w:rPr>
        <w:t xml:space="preserve"> </w:t>
      </w:r>
      <w:r w:rsidRPr="00340043">
        <w:rPr>
          <w:lang w:val="en-US"/>
        </w:rPr>
        <w:t>characteristics in accordance with the binding elements of the Index methodology. Furthermore, the Sub-Fund</w:t>
      </w:r>
      <w:r>
        <w:rPr>
          <w:lang w:val="en-US"/>
        </w:rPr>
        <w:t xml:space="preserve"> </w:t>
      </w:r>
      <w:r w:rsidRPr="00340043">
        <w:rPr>
          <w:lang w:val="en-US"/>
        </w:rPr>
        <w:t>commits to have a minimum of 30% of sustainable investments as per the below chart. Investments aligned with</w:t>
      </w:r>
      <w:r>
        <w:rPr>
          <w:lang w:val="en-US"/>
        </w:rPr>
        <w:t xml:space="preserve"> </w:t>
      </w:r>
      <w:r w:rsidRPr="00340043">
        <w:rPr>
          <w:lang w:val="en-US"/>
        </w:rPr>
        <w:t>other E/S characteristics (#1B) will represent the difference between the actual proportion of investments aligned</w:t>
      </w:r>
      <w:r>
        <w:rPr>
          <w:lang w:val="en-US"/>
        </w:rPr>
        <w:t xml:space="preserve"> </w:t>
      </w:r>
      <w:r w:rsidRPr="00340043">
        <w:rPr>
          <w:lang w:val="en-US"/>
        </w:rPr>
        <w:t>with environmental or social characteristics (#1) and the actual proportion of sustainable investments (#1A). The</w:t>
      </w:r>
      <w:r>
        <w:rPr>
          <w:lang w:val="en-US"/>
        </w:rPr>
        <w:t xml:space="preserve"> </w:t>
      </w:r>
      <w:r w:rsidRPr="00340043">
        <w:rPr>
          <w:lang w:val="en-US"/>
        </w:rPr>
        <w:t>planned proportion of other environmental investment represents a minimum of 30% (</w:t>
      </w:r>
      <w:proofErr w:type="spellStart"/>
      <w:r w:rsidRPr="00340043">
        <w:rPr>
          <w:lang w:val="en-US"/>
        </w:rPr>
        <w:t>i</w:t>
      </w:r>
      <w:proofErr w:type="spellEnd"/>
      <w:r w:rsidRPr="00340043">
        <w:rPr>
          <w:lang w:val="en-US"/>
        </w:rPr>
        <w:t>) and may change as the</w:t>
      </w:r>
      <w:r>
        <w:rPr>
          <w:lang w:val="en-US"/>
        </w:rPr>
        <w:t xml:space="preserve"> </w:t>
      </w:r>
      <w:r w:rsidRPr="00340043">
        <w:rPr>
          <w:lang w:val="en-US"/>
        </w:rPr>
        <w:t>actual proportions of Taxonomy-aligned and/or Social investments increase.</w:t>
      </w:r>
    </w:p>
    <w:p w14:paraId="6646AC8E" w14:textId="77777777" w:rsidR="00340043" w:rsidRPr="00C2259E" w:rsidRDefault="00340043" w:rsidP="00340043">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lastRenderedPageBreak/>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lastRenderedPageBreak/>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lastRenderedPageBreak/>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094A41A" w14:textId="03084E1E" w:rsidR="009E24EF" w:rsidRDefault="009E24EF" w:rsidP="009E24EF">
      <w:pPr>
        <w:tabs>
          <w:tab w:val="num" w:pos="1560"/>
        </w:tabs>
        <w:spacing w:after="0"/>
        <w:jc w:val="both"/>
        <w:rPr>
          <w:lang w:val="en-US"/>
        </w:rPr>
      </w:pPr>
      <w:r w:rsidRPr="009E24EF">
        <w:rPr>
          <w:lang w:val="en-US"/>
        </w:rPr>
        <w:t>The Index measures the performance of 40 high dividend-yielding and ESG-scoring companies from the</w:t>
      </w:r>
      <w:r>
        <w:rPr>
          <w:lang w:val="en-US"/>
        </w:rPr>
        <w:t xml:space="preserve"> </w:t>
      </w:r>
      <w:r w:rsidRPr="009E24EF">
        <w:rPr>
          <w:lang w:val="en-US"/>
        </w:rPr>
        <w:t>S&amp;P Europe BMI (the “Parent Index”) with an Eurozone country classification.</w:t>
      </w:r>
    </w:p>
    <w:p w14:paraId="33826CE7" w14:textId="592FB745" w:rsidR="009E24EF" w:rsidRPr="00C50BCF" w:rsidRDefault="009E24EF" w:rsidP="009E24EF">
      <w:pPr>
        <w:tabs>
          <w:tab w:val="num" w:pos="1560"/>
        </w:tabs>
        <w:spacing w:after="0"/>
        <w:jc w:val="both"/>
        <w:rPr>
          <w:lang w:val="en-US"/>
        </w:rPr>
      </w:pPr>
      <w:r w:rsidRPr="009E24EF">
        <w:rPr>
          <w:lang w:val="en-US"/>
        </w:rPr>
        <w:t xml:space="preserve">Additional information on the Index can be found at </w:t>
      </w:r>
      <w:hyperlink r:id="rId7" w:anchor="overview" w:history="1">
        <w:r w:rsidRPr="003C4494">
          <w:rPr>
            <w:rStyle w:val="Lienhypertexte"/>
            <w:lang w:val="en-US"/>
          </w:rPr>
          <w:t>https://www.spglobal.com/spdji/en/indexfamily/esg/core-esg/sp-esg/#overview</w:t>
        </w:r>
      </w:hyperlink>
    </w:p>
    <w:sectPr w:rsidR="009E24EF" w:rsidRPr="00C50B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25D8E"/>
    <w:rsid w:val="00035437"/>
    <w:rsid w:val="000412A1"/>
    <w:rsid w:val="000435C2"/>
    <w:rsid w:val="00043683"/>
    <w:rsid w:val="00045A1E"/>
    <w:rsid w:val="000510CF"/>
    <w:rsid w:val="00077199"/>
    <w:rsid w:val="00091926"/>
    <w:rsid w:val="00091FFF"/>
    <w:rsid w:val="000975C6"/>
    <w:rsid w:val="000A19B1"/>
    <w:rsid w:val="000A4432"/>
    <w:rsid w:val="000B04F7"/>
    <w:rsid w:val="000B1BC1"/>
    <w:rsid w:val="000C26DD"/>
    <w:rsid w:val="000C37EA"/>
    <w:rsid w:val="000C79AC"/>
    <w:rsid w:val="000D6298"/>
    <w:rsid w:val="000E3C3A"/>
    <w:rsid w:val="000F06B2"/>
    <w:rsid w:val="000F1F78"/>
    <w:rsid w:val="000F43D7"/>
    <w:rsid w:val="001027ED"/>
    <w:rsid w:val="00103686"/>
    <w:rsid w:val="00104730"/>
    <w:rsid w:val="001100F0"/>
    <w:rsid w:val="00110BDC"/>
    <w:rsid w:val="00111B7E"/>
    <w:rsid w:val="00115D57"/>
    <w:rsid w:val="001217EF"/>
    <w:rsid w:val="0012542D"/>
    <w:rsid w:val="001256AE"/>
    <w:rsid w:val="001346F6"/>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B67B5"/>
    <w:rsid w:val="001D4BC9"/>
    <w:rsid w:val="001E08A0"/>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5AA3"/>
    <w:rsid w:val="002571B9"/>
    <w:rsid w:val="00260872"/>
    <w:rsid w:val="00263C97"/>
    <w:rsid w:val="002641AB"/>
    <w:rsid w:val="00272493"/>
    <w:rsid w:val="0027769D"/>
    <w:rsid w:val="00280D04"/>
    <w:rsid w:val="00283B80"/>
    <w:rsid w:val="00284163"/>
    <w:rsid w:val="00293B6F"/>
    <w:rsid w:val="00294978"/>
    <w:rsid w:val="002959E1"/>
    <w:rsid w:val="002A3C18"/>
    <w:rsid w:val="002A6E26"/>
    <w:rsid w:val="002B6831"/>
    <w:rsid w:val="002D6D73"/>
    <w:rsid w:val="002E1A59"/>
    <w:rsid w:val="002E3534"/>
    <w:rsid w:val="002E4966"/>
    <w:rsid w:val="002E5E0A"/>
    <w:rsid w:val="002F6AA5"/>
    <w:rsid w:val="002F7745"/>
    <w:rsid w:val="00310E2B"/>
    <w:rsid w:val="00325BC8"/>
    <w:rsid w:val="00326E22"/>
    <w:rsid w:val="0033164A"/>
    <w:rsid w:val="003372E4"/>
    <w:rsid w:val="00340043"/>
    <w:rsid w:val="00341EEF"/>
    <w:rsid w:val="003424AD"/>
    <w:rsid w:val="003452B6"/>
    <w:rsid w:val="00350C90"/>
    <w:rsid w:val="00354CE1"/>
    <w:rsid w:val="0035612E"/>
    <w:rsid w:val="003745AC"/>
    <w:rsid w:val="00383CA8"/>
    <w:rsid w:val="0038498B"/>
    <w:rsid w:val="00390888"/>
    <w:rsid w:val="00395D8D"/>
    <w:rsid w:val="0039750F"/>
    <w:rsid w:val="003A2187"/>
    <w:rsid w:val="003A5B9D"/>
    <w:rsid w:val="003A6BB9"/>
    <w:rsid w:val="003B12EB"/>
    <w:rsid w:val="003B5B66"/>
    <w:rsid w:val="003C3246"/>
    <w:rsid w:val="003C40BE"/>
    <w:rsid w:val="003C68FA"/>
    <w:rsid w:val="003D5F22"/>
    <w:rsid w:val="003D7A6E"/>
    <w:rsid w:val="003E1445"/>
    <w:rsid w:val="003E4109"/>
    <w:rsid w:val="003E5A9D"/>
    <w:rsid w:val="003E79F8"/>
    <w:rsid w:val="003E7FC1"/>
    <w:rsid w:val="003F0A0C"/>
    <w:rsid w:val="004069FB"/>
    <w:rsid w:val="0041028C"/>
    <w:rsid w:val="004143CF"/>
    <w:rsid w:val="004151F2"/>
    <w:rsid w:val="0041713B"/>
    <w:rsid w:val="0042053C"/>
    <w:rsid w:val="00423A24"/>
    <w:rsid w:val="00424042"/>
    <w:rsid w:val="00430F6F"/>
    <w:rsid w:val="00432E0E"/>
    <w:rsid w:val="004558A2"/>
    <w:rsid w:val="00465DAB"/>
    <w:rsid w:val="00476C46"/>
    <w:rsid w:val="0048166E"/>
    <w:rsid w:val="00485614"/>
    <w:rsid w:val="00492750"/>
    <w:rsid w:val="004A483D"/>
    <w:rsid w:val="004B0D75"/>
    <w:rsid w:val="004B465F"/>
    <w:rsid w:val="004B5CFA"/>
    <w:rsid w:val="004C719B"/>
    <w:rsid w:val="004D1687"/>
    <w:rsid w:val="004E051F"/>
    <w:rsid w:val="004E707D"/>
    <w:rsid w:val="004F0B15"/>
    <w:rsid w:val="004F513A"/>
    <w:rsid w:val="0051185F"/>
    <w:rsid w:val="00511941"/>
    <w:rsid w:val="00515866"/>
    <w:rsid w:val="005209B4"/>
    <w:rsid w:val="0053001B"/>
    <w:rsid w:val="005324D2"/>
    <w:rsid w:val="00537782"/>
    <w:rsid w:val="00540C2B"/>
    <w:rsid w:val="005439F1"/>
    <w:rsid w:val="005623A1"/>
    <w:rsid w:val="00570448"/>
    <w:rsid w:val="005735DA"/>
    <w:rsid w:val="005804D7"/>
    <w:rsid w:val="00581020"/>
    <w:rsid w:val="00590A95"/>
    <w:rsid w:val="0059484D"/>
    <w:rsid w:val="00597FD7"/>
    <w:rsid w:val="005B0C03"/>
    <w:rsid w:val="005B2C81"/>
    <w:rsid w:val="005B7D1E"/>
    <w:rsid w:val="005D4899"/>
    <w:rsid w:val="005E1BFD"/>
    <w:rsid w:val="005E1D0B"/>
    <w:rsid w:val="005F241D"/>
    <w:rsid w:val="005F6C0F"/>
    <w:rsid w:val="0060705D"/>
    <w:rsid w:val="00611DF9"/>
    <w:rsid w:val="00613FBC"/>
    <w:rsid w:val="00624504"/>
    <w:rsid w:val="006270AA"/>
    <w:rsid w:val="0063085B"/>
    <w:rsid w:val="006330C4"/>
    <w:rsid w:val="006435A9"/>
    <w:rsid w:val="0064653C"/>
    <w:rsid w:val="0064711D"/>
    <w:rsid w:val="00647AAD"/>
    <w:rsid w:val="006615D7"/>
    <w:rsid w:val="0067145A"/>
    <w:rsid w:val="00671808"/>
    <w:rsid w:val="00671851"/>
    <w:rsid w:val="00680694"/>
    <w:rsid w:val="00692A33"/>
    <w:rsid w:val="0069514F"/>
    <w:rsid w:val="006A57EB"/>
    <w:rsid w:val="006B0E2B"/>
    <w:rsid w:val="006C2A16"/>
    <w:rsid w:val="006D29BA"/>
    <w:rsid w:val="006E112F"/>
    <w:rsid w:val="006E2884"/>
    <w:rsid w:val="006E3684"/>
    <w:rsid w:val="006F50CA"/>
    <w:rsid w:val="00700713"/>
    <w:rsid w:val="007013FB"/>
    <w:rsid w:val="00702BF5"/>
    <w:rsid w:val="00704FB1"/>
    <w:rsid w:val="00705AA3"/>
    <w:rsid w:val="007233C7"/>
    <w:rsid w:val="00737508"/>
    <w:rsid w:val="00742E22"/>
    <w:rsid w:val="007528F2"/>
    <w:rsid w:val="00754D01"/>
    <w:rsid w:val="0075521E"/>
    <w:rsid w:val="00762E08"/>
    <w:rsid w:val="00764446"/>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195F"/>
    <w:rsid w:val="007F29EC"/>
    <w:rsid w:val="008012C0"/>
    <w:rsid w:val="008033B1"/>
    <w:rsid w:val="00810839"/>
    <w:rsid w:val="008123E4"/>
    <w:rsid w:val="008128AC"/>
    <w:rsid w:val="00812C50"/>
    <w:rsid w:val="00813464"/>
    <w:rsid w:val="00814D70"/>
    <w:rsid w:val="00815B0D"/>
    <w:rsid w:val="00820C4E"/>
    <w:rsid w:val="008262F3"/>
    <w:rsid w:val="00826382"/>
    <w:rsid w:val="008309FE"/>
    <w:rsid w:val="00830EFE"/>
    <w:rsid w:val="008332F9"/>
    <w:rsid w:val="00845BC3"/>
    <w:rsid w:val="00851D0A"/>
    <w:rsid w:val="008531A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34DF"/>
    <w:rsid w:val="008F3945"/>
    <w:rsid w:val="008F6EBD"/>
    <w:rsid w:val="00906147"/>
    <w:rsid w:val="00906190"/>
    <w:rsid w:val="0091097F"/>
    <w:rsid w:val="00921654"/>
    <w:rsid w:val="009422E3"/>
    <w:rsid w:val="00943250"/>
    <w:rsid w:val="00944766"/>
    <w:rsid w:val="009474D0"/>
    <w:rsid w:val="009479E0"/>
    <w:rsid w:val="009507AC"/>
    <w:rsid w:val="00964116"/>
    <w:rsid w:val="00964195"/>
    <w:rsid w:val="0097035F"/>
    <w:rsid w:val="009711D1"/>
    <w:rsid w:val="009735EA"/>
    <w:rsid w:val="009D31E9"/>
    <w:rsid w:val="009D411D"/>
    <w:rsid w:val="009D4D38"/>
    <w:rsid w:val="009D50F1"/>
    <w:rsid w:val="009D6130"/>
    <w:rsid w:val="009E1B3F"/>
    <w:rsid w:val="009E24EF"/>
    <w:rsid w:val="009E2F1C"/>
    <w:rsid w:val="00A00C9D"/>
    <w:rsid w:val="00A157B5"/>
    <w:rsid w:val="00A224AA"/>
    <w:rsid w:val="00A27CA9"/>
    <w:rsid w:val="00A3020F"/>
    <w:rsid w:val="00A3536B"/>
    <w:rsid w:val="00A47A84"/>
    <w:rsid w:val="00A537DC"/>
    <w:rsid w:val="00A541C6"/>
    <w:rsid w:val="00A57014"/>
    <w:rsid w:val="00A61661"/>
    <w:rsid w:val="00A652F9"/>
    <w:rsid w:val="00A70259"/>
    <w:rsid w:val="00A71155"/>
    <w:rsid w:val="00A9194B"/>
    <w:rsid w:val="00A92EF2"/>
    <w:rsid w:val="00A94AF8"/>
    <w:rsid w:val="00AA4012"/>
    <w:rsid w:val="00AD430C"/>
    <w:rsid w:val="00AD6E0C"/>
    <w:rsid w:val="00AD736D"/>
    <w:rsid w:val="00AE13A1"/>
    <w:rsid w:val="00AE641E"/>
    <w:rsid w:val="00AF058C"/>
    <w:rsid w:val="00AF5955"/>
    <w:rsid w:val="00AF70F4"/>
    <w:rsid w:val="00B07A8B"/>
    <w:rsid w:val="00B14B8F"/>
    <w:rsid w:val="00B155C8"/>
    <w:rsid w:val="00B1581C"/>
    <w:rsid w:val="00B227D6"/>
    <w:rsid w:val="00B253E6"/>
    <w:rsid w:val="00B2608C"/>
    <w:rsid w:val="00B3547F"/>
    <w:rsid w:val="00B363AE"/>
    <w:rsid w:val="00B37384"/>
    <w:rsid w:val="00B6168B"/>
    <w:rsid w:val="00B61F9C"/>
    <w:rsid w:val="00B66099"/>
    <w:rsid w:val="00B771E4"/>
    <w:rsid w:val="00B95447"/>
    <w:rsid w:val="00BA4B8D"/>
    <w:rsid w:val="00BB16B6"/>
    <w:rsid w:val="00BD0971"/>
    <w:rsid w:val="00BE6315"/>
    <w:rsid w:val="00BF1728"/>
    <w:rsid w:val="00C03250"/>
    <w:rsid w:val="00C14968"/>
    <w:rsid w:val="00C14A7D"/>
    <w:rsid w:val="00C15A78"/>
    <w:rsid w:val="00C1634D"/>
    <w:rsid w:val="00C2259E"/>
    <w:rsid w:val="00C239CC"/>
    <w:rsid w:val="00C31151"/>
    <w:rsid w:val="00C348D9"/>
    <w:rsid w:val="00C41D7F"/>
    <w:rsid w:val="00C4338E"/>
    <w:rsid w:val="00C46B89"/>
    <w:rsid w:val="00C46CDB"/>
    <w:rsid w:val="00C50BCF"/>
    <w:rsid w:val="00C62D2A"/>
    <w:rsid w:val="00C710EE"/>
    <w:rsid w:val="00C73E3F"/>
    <w:rsid w:val="00C74E99"/>
    <w:rsid w:val="00C86E30"/>
    <w:rsid w:val="00C97A7B"/>
    <w:rsid w:val="00CA1772"/>
    <w:rsid w:val="00CA7D78"/>
    <w:rsid w:val="00CB6D7C"/>
    <w:rsid w:val="00CC1AA8"/>
    <w:rsid w:val="00CC3FA8"/>
    <w:rsid w:val="00CD0B58"/>
    <w:rsid w:val="00CD3603"/>
    <w:rsid w:val="00CD5149"/>
    <w:rsid w:val="00CF056D"/>
    <w:rsid w:val="00CF56BA"/>
    <w:rsid w:val="00CF6F98"/>
    <w:rsid w:val="00CF72EA"/>
    <w:rsid w:val="00CF7ECE"/>
    <w:rsid w:val="00D0523C"/>
    <w:rsid w:val="00D07862"/>
    <w:rsid w:val="00D13CF0"/>
    <w:rsid w:val="00D179E0"/>
    <w:rsid w:val="00D2174C"/>
    <w:rsid w:val="00D22BB1"/>
    <w:rsid w:val="00D237F4"/>
    <w:rsid w:val="00D27CC4"/>
    <w:rsid w:val="00D4126C"/>
    <w:rsid w:val="00D5388D"/>
    <w:rsid w:val="00D54CBD"/>
    <w:rsid w:val="00D620C1"/>
    <w:rsid w:val="00D63DDF"/>
    <w:rsid w:val="00D77F20"/>
    <w:rsid w:val="00D8366E"/>
    <w:rsid w:val="00D8711F"/>
    <w:rsid w:val="00D908C4"/>
    <w:rsid w:val="00D972CF"/>
    <w:rsid w:val="00DA1CE3"/>
    <w:rsid w:val="00DB00D2"/>
    <w:rsid w:val="00DB716A"/>
    <w:rsid w:val="00DC4C68"/>
    <w:rsid w:val="00DD5480"/>
    <w:rsid w:val="00E069DC"/>
    <w:rsid w:val="00E115D1"/>
    <w:rsid w:val="00E17166"/>
    <w:rsid w:val="00E20BBA"/>
    <w:rsid w:val="00E2450B"/>
    <w:rsid w:val="00E25435"/>
    <w:rsid w:val="00E270FD"/>
    <w:rsid w:val="00E306A1"/>
    <w:rsid w:val="00E36234"/>
    <w:rsid w:val="00E4202B"/>
    <w:rsid w:val="00E42EB3"/>
    <w:rsid w:val="00E44562"/>
    <w:rsid w:val="00E52A88"/>
    <w:rsid w:val="00E53161"/>
    <w:rsid w:val="00E56FD9"/>
    <w:rsid w:val="00E64A39"/>
    <w:rsid w:val="00E64F89"/>
    <w:rsid w:val="00E6630F"/>
    <w:rsid w:val="00E66648"/>
    <w:rsid w:val="00E72DF7"/>
    <w:rsid w:val="00E72F77"/>
    <w:rsid w:val="00E7432D"/>
    <w:rsid w:val="00E74C16"/>
    <w:rsid w:val="00E77637"/>
    <w:rsid w:val="00E8511F"/>
    <w:rsid w:val="00E87775"/>
    <w:rsid w:val="00E93383"/>
    <w:rsid w:val="00E93F70"/>
    <w:rsid w:val="00EA086D"/>
    <w:rsid w:val="00EA66DE"/>
    <w:rsid w:val="00EC10E8"/>
    <w:rsid w:val="00EC708F"/>
    <w:rsid w:val="00EC73C4"/>
    <w:rsid w:val="00ED2956"/>
    <w:rsid w:val="00ED6B09"/>
    <w:rsid w:val="00EE3F87"/>
    <w:rsid w:val="00EF0FDF"/>
    <w:rsid w:val="00EF19FB"/>
    <w:rsid w:val="00F03360"/>
    <w:rsid w:val="00F03C6B"/>
    <w:rsid w:val="00F10BA9"/>
    <w:rsid w:val="00F126CC"/>
    <w:rsid w:val="00F334B8"/>
    <w:rsid w:val="00F52BCD"/>
    <w:rsid w:val="00F53E61"/>
    <w:rsid w:val="00F6179F"/>
    <w:rsid w:val="00F66EA8"/>
    <w:rsid w:val="00F741D1"/>
    <w:rsid w:val="00F7420A"/>
    <w:rsid w:val="00F765FE"/>
    <w:rsid w:val="00F92E11"/>
    <w:rsid w:val="00F944D2"/>
    <w:rsid w:val="00FB0B0A"/>
    <w:rsid w:val="00FB2071"/>
    <w:rsid w:val="00FB50AD"/>
    <w:rsid w:val="00FC1D8C"/>
    <w:rsid w:val="00FC3984"/>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69731510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global.com/spdji/en/indexfamily/esg/core-esg/sp-e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2772</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394</cp:revision>
  <dcterms:created xsi:type="dcterms:W3CDTF">2022-11-23T07:47:00Z</dcterms:created>
  <dcterms:modified xsi:type="dcterms:W3CDTF">2025-04-29T12:37:00Z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