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1E89" w14:textId="77777777" w:rsidR="00FD6425" w:rsidRPr="00D03AAD" w:rsidRDefault="00FD6425" w:rsidP="00FD6425">
      <w:pPr>
        <w:ind w:left="-851" w:right="-851"/>
        <w:jc w:val="center"/>
        <w:rPr>
          <w:rFonts w:cstheme="minorHAnsi"/>
          <w:b/>
          <w:bCs/>
          <w:color w:val="FF0000"/>
          <w:sz w:val="24"/>
          <w:szCs w:val="24"/>
          <w:lang w:val="en-US"/>
        </w:rPr>
      </w:pPr>
      <w:r>
        <w:rPr>
          <w:rFonts w:cstheme="minorHAnsi"/>
          <w:b/>
          <w:bCs/>
          <w:color w:val="FF0000"/>
          <w:sz w:val="24"/>
          <w:szCs w:val="24"/>
          <w:lang w:val="en-US"/>
        </w:rPr>
        <w:t xml:space="preserve">Website Product Disclosures further to art. 10(1) of the Sustainable Finance Disclosure Regulation for art. 8 sub-funds </w:t>
      </w:r>
    </w:p>
    <w:p w14:paraId="41D339F9" w14:textId="77777777" w:rsidR="00FD6425" w:rsidRPr="00D03AAD" w:rsidRDefault="00FD6425" w:rsidP="00FD6425">
      <w:pPr>
        <w:jc w:val="center"/>
        <w:rPr>
          <w:b/>
          <w:color w:val="FF0000"/>
          <w:sz w:val="24"/>
          <w:szCs w:val="24"/>
          <w:lang w:val="en-US"/>
        </w:rPr>
      </w:pPr>
      <w:r w:rsidRPr="000D77E7">
        <w:rPr>
          <w:b/>
          <w:color w:val="FF0000"/>
          <w:sz w:val="24"/>
          <w:szCs w:val="24"/>
          <w:lang w:val="en-US"/>
        </w:rPr>
        <w:t>SUMMARY</w:t>
      </w:r>
    </w:p>
    <w:p w14:paraId="7207B8A6" w14:textId="2D43B8A9" w:rsidR="001B13EB"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C4165D" w14:paraId="3A58E765" w14:textId="77777777" w:rsidTr="008229A6">
        <w:trPr>
          <w:trHeight w:val="416"/>
        </w:trPr>
        <w:tc>
          <w:tcPr>
            <w:tcW w:w="5387" w:type="dxa"/>
          </w:tcPr>
          <w:p w14:paraId="2F848123" w14:textId="77777777" w:rsidR="00B237C7" w:rsidRDefault="00216AA6" w:rsidP="00C15A78">
            <w:pPr>
              <w:ind w:left="-851" w:right="-851"/>
              <w:jc w:val="both"/>
              <w:rPr>
                <w:lang w:val="en-US"/>
              </w:rPr>
            </w:pPr>
            <w:r w:rsidRPr="005E1D0B">
              <w:rPr>
                <w:b/>
                <w:bCs/>
                <w:lang w:val="en-US"/>
              </w:rPr>
              <w:t xml:space="preserve">Product </w:t>
            </w:r>
            <w:r w:rsidR="00C15A78">
              <w:rPr>
                <w:b/>
                <w:bCs/>
                <w:lang w:val="en-US"/>
              </w:rPr>
              <w:t>N</w:t>
            </w:r>
            <w:r w:rsidRPr="005E1D0B">
              <w:rPr>
                <w:b/>
                <w:bCs/>
                <w:lang w:val="en-US"/>
              </w:rPr>
              <w:t>ame</w:t>
            </w:r>
            <w:r w:rsidRPr="005E1D0B">
              <w:rPr>
                <w:lang w:val="en-US"/>
              </w:rPr>
              <w:t xml:space="preserve">: </w:t>
            </w:r>
          </w:p>
          <w:p w14:paraId="3A4A049C" w14:textId="626970E9" w:rsidR="005E1D0B" w:rsidRPr="0006486C" w:rsidRDefault="0002450E" w:rsidP="00B237C7">
            <w:pPr>
              <w:ind w:left="-101" w:right="-851"/>
              <w:jc w:val="both"/>
              <w:rPr>
                <w:lang w:val="en-US"/>
              </w:rPr>
            </w:pPr>
            <w:r w:rsidRPr="0002450E">
              <w:rPr>
                <w:lang w:val="en-US"/>
              </w:rPr>
              <w:t>AMUNDI LIFECYCLE 2039</w:t>
            </w:r>
          </w:p>
        </w:tc>
        <w:tc>
          <w:tcPr>
            <w:tcW w:w="5103" w:type="dxa"/>
          </w:tcPr>
          <w:p w14:paraId="34632F06" w14:textId="77777777" w:rsidR="00B237C7" w:rsidRDefault="00216AA6" w:rsidP="003F0A0C">
            <w:pPr>
              <w:ind w:right="-851"/>
              <w:rPr>
                <w:lang w:val="it-IT"/>
              </w:rPr>
            </w:pPr>
            <w:r w:rsidRPr="00B237C7">
              <w:rPr>
                <w:b/>
                <w:bCs/>
                <w:lang w:val="it-IT"/>
              </w:rPr>
              <w:t xml:space="preserve">Legal </w:t>
            </w:r>
            <w:proofErr w:type="spellStart"/>
            <w:r w:rsidRPr="00B237C7">
              <w:rPr>
                <w:b/>
                <w:bCs/>
                <w:lang w:val="it-IT"/>
              </w:rPr>
              <w:t>entity</w:t>
            </w:r>
            <w:proofErr w:type="spellEnd"/>
            <w:r w:rsidRPr="00B237C7">
              <w:rPr>
                <w:b/>
                <w:bCs/>
                <w:lang w:val="it-IT"/>
              </w:rPr>
              <w:t xml:space="preserve"> </w:t>
            </w:r>
            <w:proofErr w:type="spellStart"/>
            <w:r w:rsidRPr="00B237C7">
              <w:rPr>
                <w:b/>
                <w:bCs/>
                <w:lang w:val="it-IT"/>
              </w:rPr>
              <w:t>identifier</w:t>
            </w:r>
            <w:proofErr w:type="spellEnd"/>
            <w:r w:rsidRPr="00B237C7">
              <w:rPr>
                <w:lang w:val="it-IT"/>
              </w:rPr>
              <w:t xml:space="preserve">: </w:t>
            </w:r>
          </w:p>
          <w:p w14:paraId="449F9D0D" w14:textId="37C175AA" w:rsidR="005E1D0B" w:rsidRPr="00B237C7" w:rsidRDefault="00A9013E" w:rsidP="006653E9">
            <w:pPr>
              <w:ind w:right="-851"/>
              <w:rPr>
                <w:lang w:val="it-IT"/>
              </w:rPr>
            </w:pPr>
            <w:r w:rsidRPr="00A9013E">
              <w:rPr>
                <w:lang w:val="it-IT"/>
              </w:rPr>
              <w:t>213800Q6ZZQCXQ33GU04</w:t>
            </w:r>
          </w:p>
        </w:tc>
      </w:tr>
    </w:tbl>
    <w:p w14:paraId="69DD299F" w14:textId="77777777" w:rsidR="00252E7E" w:rsidRPr="00B237C7" w:rsidRDefault="00252E7E" w:rsidP="00C15A78">
      <w:pPr>
        <w:pStyle w:val="Titre2"/>
        <w:ind w:left="-851" w:right="-851"/>
        <w:jc w:val="both"/>
        <w:rPr>
          <w:lang w:val="it-IT"/>
        </w:rPr>
      </w:pPr>
    </w:p>
    <w:p w14:paraId="6B980FDB" w14:textId="44844A26" w:rsidR="00CB6D7C" w:rsidRPr="00B237C7" w:rsidRDefault="00CB6D7C" w:rsidP="00C15A78">
      <w:pPr>
        <w:ind w:left="-851" w:right="-851"/>
        <w:jc w:val="both"/>
        <w:rPr>
          <w:lang w:val="it-IT"/>
        </w:rPr>
      </w:pPr>
    </w:p>
    <w:p w14:paraId="221D7E94" w14:textId="32AB1DAC" w:rsidR="00660D2A" w:rsidRDefault="00216AA6" w:rsidP="00660D2A">
      <w:pPr>
        <w:pStyle w:val="Titre2"/>
        <w:jc w:val="both"/>
        <w:rPr>
          <w:b/>
          <w:color w:val="auto"/>
          <w:lang w:val="en-US"/>
        </w:rPr>
      </w:pPr>
      <w:r w:rsidRPr="00660D2A">
        <w:rPr>
          <w:b/>
          <w:color w:val="auto"/>
          <w:lang w:val="en-US"/>
        </w:rPr>
        <w:t>No sustainable investment objective</w:t>
      </w:r>
    </w:p>
    <w:p w14:paraId="699E0DF9" w14:textId="77777777" w:rsidR="00660D2A" w:rsidRPr="00660D2A" w:rsidRDefault="00660D2A" w:rsidP="00660D2A">
      <w:pPr>
        <w:rPr>
          <w:lang w:val="en-US"/>
        </w:rPr>
      </w:pPr>
    </w:p>
    <w:p w14:paraId="60C55F5C" w14:textId="77777777" w:rsidR="00A769E5" w:rsidRDefault="00216AA6" w:rsidP="00A769E5">
      <w:pPr>
        <w:jc w:val="both"/>
        <w:rPr>
          <w:lang w:val="en-US"/>
        </w:rPr>
      </w:pPr>
      <w:r w:rsidRPr="00395D8D">
        <w:rPr>
          <w:lang w:val="en-US"/>
        </w:rPr>
        <w:t>This financial product promotes environmental or social characteristics, but does not have as its objective sustainable investment</w:t>
      </w:r>
    </w:p>
    <w:p w14:paraId="0EE83480" w14:textId="77777777" w:rsidR="00A769E5" w:rsidRPr="00395D8D" w:rsidRDefault="00A769E5" w:rsidP="00A769E5">
      <w:pPr>
        <w:tabs>
          <w:tab w:val="num" w:pos="1560"/>
        </w:tabs>
        <w:spacing w:after="0"/>
        <w:jc w:val="both"/>
        <w:rPr>
          <w:lang w:val="en-GB"/>
        </w:rPr>
      </w:pPr>
    </w:p>
    <w:p w14:paraId="7D32D170" w14:textId="77777777" w:rsidR="00A769E5" w:rsidRDefault="00216AA6" w:rsidP="00A769E5">
      <w:pPr>
        <w:jc w:val="both"/>
        <w:rPr>
          <w:lang w:val="en-US"/>
        </w:rPr>
      </w:pPr>
      <w:r w:rsidRPr="00395D8D">
        <w:rPr>
          <w:lang w:val="en-US"/>
        </w:rPr>
        <w:t>This financial product commits to making sustainable investments.</w:t>
      </w:r>
    </w:p>
    <w:p w14:paraId="2199A5B5" w14:textId="77777777" w:rsidR="00A769E5" w:rsidRPr="00395D8D" w:rsidRDefault="00216AA6" w:rsidP="00A769E5">
      <w:pPr>
        <w:jc w:val="both"/>
        <w:rPr>
          <w:lang w:val="en-US"/>
        </w:rPr>
      </w:pPr>
      <w:r w:rsidRPr="00C2259E">
        <w:rPr>
          <w:lang w:val="en-US"/>
        </w:rPr>
        <w:t xml:space="preserve"> </w:t>
      </w:r>
    </w:p>
    <w:p w14:paraId="410D4BF3" w14:textId="36278836" w:rsidR="00660D2A" w:rsidRDefault="00660D2A" w:rsidP="00660D2A">
      <w:pPr>
        <w:jc w:val="both"/>
        <w:rPr>
          <w:lang w:val="en-US"/>
        </w:rPr>
      </w:pPr>
    </w:p>
    <w:p w14:paraId="25A15EC7" w14:textId="77777777" w:rsidR="00660D2A" w:rsidRDefault="00660D2A" w:rsidP="00660D2A">
      <w:pPr>
        <w:jc w:val="both"/>
        <w:rPr>
          <w:lang w:val="en-US"/>
        </w:rPr>
      </w:pPr>
    </w:p>
    <w:p w14:paraId="1AF35F3C" w14:textId="41AE1DCF" w:rsidR="00660D2A" w:rsidRDefault="00216AA6" w:rsidP="00660D2A">
      <w:pPr>
        <w:pStyle w:val="Titre2"/>
        <w:jc w:val="both"/>
        <w:rPr>
          <w:b/>
          <w:color w:val="auto"/>
          <w:lang w:val="en-US"/>
        </w:rPr>
      </w:pPr>
      <w:r w:rsidRPr="00660D2A">
        <w:rPr>
          <w:b/>
          <w:color w:val="auto"/>
          <w:lang w:val="en-US"/>
        </w:rPr>
        <w:t>Environmental or social characteristics of the financial product</w:t>
      </w:r>
    </w:p>
    <w:p w14:paraId="4FBA6710" w14:textId="77777777" w:rsidR="00660D2A" w:rsidRPr="00660D2A" w:rsidRDefault="00660D2A" w:rsidP="00660D2A">
      <w:pPr>
        <w:rPr>
          <w:lang w:val="en-US"/>
        </w:rPr>
      </w:pPr>
    </w:p>
    <w:p w14:paraId="6DB9A642" w14:textId="2C51B5A8" w:rsidR="008C4FC0" w:rsidRPr="008C4FC0" w:rsidRDefault="008C4FC0" w:rsidP="008C4FC0">
      <w:pPr>
        <w:jc w:val="both"/>
        <w:rPr>
          <w:lang w:val="en-US"/>
        </w:rPr>
      </w:pPr>
      <w:r w:rsidRPr="008C4FC0">
        <w:rPr>
          <w:lang w:val="en-US"/>
        </w:rPr>
        <w:t>The Sub-Fund promotes environmental and/or social characteristics through among others, replicating</w:t>
      </w:r>
      <w:r>
        <w:rPr>
          <w:lang w:val="en-US"/>
        </w:rPr>
        <w:t xml:space="preserve"> </w:t>
      </w:r>
      <w:r w:rsidRPr="008C4FC0">
        <w:rPr>
          <w:lang w:val="en-US"/>
        </w:rPr>
        <w:t>FTSE Lifecycle 2039 ESG Screened Select Index (the "Index"), an index composed of EMU-participating,</w:t>
      </w:r>
      <w:r>
        <w:rPr>
          <w:lang w:val="en-US"/>
        </w:rPr>
        <w:t xml:space="preserve"> </w:t>
      </w:r>
      <w:r w:rsidRPr="008C4FC0">
        <w:rPr>
          <w:lang w:val="en-US"/>
        </w:rPr>
        <w:t>investment-grade sovereign Green Bonds as per underlying base index FTSE EMU Government Green</w:t>
      </w:r>
      <w:r>
        <w:rPr>
          <w:lang w:val="en-US"/>
        </w:rPr>
        <w:t xml:space="preserve"> </w:t>
      </w:r>
      <w:r w:rsidRPr="008C4FC0">
        <w:rPr>
          <w:lang w:val="en-US"/>
        </w:rPr>
        <w:t>Bond Select Index. To be eligible a bond must be considered as a "Green Bond" by the Climate Bonds</w:t>
      </w:r>
      <w:r>
        <w:rPr>
          <w:lang w:val="en-US"/>
        </w:rPr>
        <w:t xml:space="preserve"> </w:t>
      </w:r>
      <w:r w:rsidRPr="008C4FC0">
        <w:rPr>
          <w:lang w:val="en-US"/>
        </w:rPr>
        <w:t>Initiative.</w:t>
      </w:r>
    </w:p>
    <w:p w14:paraId="70CAE3D9" w14:textId="7D9CF0F4" w:rsidR="00846F3E" w:rsidRDefault="008C4FC0" w:rsidP="008C4FC0">
      <w:pPr>
        <w:jc w:val="both"/>
        <w:rPr>
          <w:lang w:val="en-US"/>
        </w:rPr>
      </w:pPr>
      <w:r w:rsidRPr="008C4FC0">
        <w:rPr>
          <w:lang w:val="en-US"/>
        </w:rPr>
        <w:t>Climate Bonds Initiative is an investor-focused-not-for-profit organization promoting large-scale</w:t>
      </w:r>
      <w:r>
        <w:rPr>
          <w:lang w:val="en-US"/>
        </w:rPr>
        <w:t xml:space="preserve"> </w:t>
      </w:r>
      <w:r w:rsidRPr="008C4FC0">
        <w:rPr>
          <w:lang w:val="en-US"/>
        </w:rPr>
        <w:t>investments that will deliver a global low carbon and climate resilient economy (more information is</w:t>
      </w:r>
      <w:r>
        <w:rPr>
          <w:lang w:val="en-US"/>
        </w:rPr>
        <w:t xml:space="preserve"> </w:t>
      </w:r>
      <w:r w:rsidRPr="008C4FC0">
        <w:rPr>
          <w:lang w:val="en-US"/>
        </w:rPr>
        <w:t>available on the website: http://www.climatebonds.net/). Climate Bonds Initiative has developed and</w:t>
      </w:r>
      <w:r>
        <w:rPr>
          <w:lang w:val="en-US"/>
        </w:rPr>
        <w:t xml:space="preserve"> </w:t>
      </w:r>
      <w:r w:rsidRPr="008C4FC0">
        <w:rPr>
          <w:lang w:val="en-US"/>
        </w:rPr>
        <w:t>implemented a set of criteria to define Green Bonds which are eligible for the Index.</w:t>
      </w:r>
    </w:p>
    <w:p w14:paraId="0166186E" w14:textId="77777777" w:rsidR="008C4FC0" w:rsidRPr="004E217C" w:rsidRDefault="008C4FC0" w:rsidP="008C4FC0">
      <w:pPr>
        <w:jc w:val="both"/>
        <w:rPr>
          <w:lang w:val="en-US"/>
        </w:rPr>
      </w:pPr>
    </w:p>
    <w:p w14:paraId="7DBA6510" w14:textId="24F0387B" w:rsidR="00660D2A" w:rsidRDefault="00216AA6" w:rsidP="00660D2A">
      <w:pPr>
        <w:pStyle w:val="Titre2"/>
        <w:jc w:val="both"/>
        <w:rPr>
          <w:b/>
          <w:color w:val="auto"/>
          <w:lang w:val="en-US"/>
        </w:rPr>
      </w:pPr>
      <w:r w:rsidRPr="00660D2A">
        <w:rPr>
          <w:b/>
          <w:color w:val="auto"/>
          <w:lang w:val="en-US"/>
        </w:rPr>
        <w:t>Proportion of investments</w:t>
      </w:r>
    </w:p>
    <w:p w14:paraId="2EB38F37" w14:textId="77777777" w:rsidR="00660D2A" w:rsidRPr="00660D2A" w:rsidRDefault="00660D2A" w:rsidP="00660D2A">
      <w:pPr>
        <w:rPr>
          <w:lang w:val="en-US"/>
        </w:rPr>
      </w:pPr>
    </w:p>
    <w:p w14:paraId="340ED0BD" w14:textId="1CB30376" w:rsidR="00ED4299" w:rsidRPr="00ED4299" w:rsidRDefault="00ED4299" w:rsidP="00ED4299">
      <w:pPr>
        <w:jc w:val="both"/>
        <w:rPr>
          <w:lang w:val="en-US"/>
        </w:rPr>
      </w:pPr>
      <w:r w:rsidRPr="00ED4299">
        <w:rPr>
          <w:lang w:val="en-US"/>
        </w:rPr>
        <w:t>At least 90% of the Sub-Fund's, securities and instruments will meet the promoted environmental or social</w:t>
      </w:r>
      <w:r>
        <w:rPr>
          <w:lang w:val="en-US"/>
        </w:rPr>
        <w:t xml:space="preserve"> </w:t>
      </w:r>
      <w:r w:rsidRPr="00ED4299">
        <w:rPr>
          <w:lang w:val="en-US"/>
        </w:rPr>
        <w:t>characteristics in accordance with the binding elements of the Index methodology.</w:t>
      </w:r>
    </w:p>
    <w:p w14:paraId="4DF8B55D" w14:textId="03E14894" w:rsidR="00ED4299" w:rsidRPr="00ED4299" w:rsidRDefault="00ED4299" w:rsidP="00ED4299">
      <w:pPr>
        <w:jc w:val="both"/>
        <w:rPr>
          <w:lang w:val="en-US"/>
        </w:rPr>
      </w:pPr>
      <w:r w:rsidRPr="00ED4299">
        <w:rPr>
          <w:lang w:val="en-US"/>
        </w:rPr>
        <w:t>Furthermore, the Sub-Fund commits to have a minimum of 5% of sustainable investments as per the</w:t>
      </w:r>
      <w:r>
        <w:rPr>
          <w:lang w:val="en-US"/>
        </w:rPr>
        <w:t xml:space="preserve"> </w:t>
      </w:r>
      <w:r w:rsidRPr="00ED4299">
        <w:rPr>
          <w:lang w:val="en-US"/>
        </w:rPr>
        <w:t>below chart. Investments aligned with other E/S characteristics (#1B) will represent the difference</w:t>
      </w:r>
      <w:r>
        <w:rPr>
          <w:lang w:val="en-US"/>
        </w:rPr>
        <w:t xml:space="preserve"> </w:t>
      </w:r>
      <w:r w:rsidRPr="00ED4299">
        <w:rPr>
          <w:lang w:val="en-US"/>
        </w:rPr>
        <w:t>between the actual proportion of investments aligned with environmental or social characteristics (#1)</w:t>
      </w:r>
      <w:r>
        <w:rPr>
          <w:lang w:val="en-US"/>
        </w:rPr>
        <w:t xml:space="preserve"> </w:t>
      </w:r>
      <w:r w:rsidRPr="00ED4299">
        <w:rPr>
          <w:lang w:val="en-US"/>
        </w:rPr>
        <w:t>and the actual proportion of sustainable investments (#1A).</w:t>
      </w:r>
    </w:p>
    <w:p w14:paraId="23BE16E1" w14:textId="10D5B3F4" w:rsidR="00A4406F" w:rsidRDefault="00ED4299" w:rsidP="00ED4299">
      <w:pPr>
        <w:jc w:val="both"/>
        <w:rPr>
          <w:lang w:val="en-US"/>
        </w:rPr>
      </w:pPr>
      <w:r w:rsidRPr="00ED4299">
        <w:rPr>
          <w:lang w:val="en-US"/>
        </w:rPr>
        <w:lastRenderedPageBreak/>
        <w:t>The planned proportion of other environmental investment represents a minimum of 5% (</w:t>
      </w:r>
      <w:proofErr w:type="spellStart"/>
      <w:r w:rsidRPr="00ED4299">
        <w:rPr>
          <w:lang w:val="en-US"/>
        </w:rPr>
        <w:t>i</w:t>
      </w:r>
      <w:proofErr w:type="spellEnd"/>
      <w:r w:rsidRPr="00ED4299">
        <w:rPr>
          <w:lang w:val="en-US"/>
        </w:rPr>
        <w:t>) and may</w:t>
      </w:r>
      <w:r>
        <w:rPr>
          <w:lang w:val="en-US"/>
        </w:rPr>
        <w:t xml:space="preserve"> </w:t>
      </w:r>
      <w:r w:rsidRPr="00ED4299">
        <w:rPr>
          <w:lang w:val="en-US"/>
        </w:rPr>
        <w:t>change as the actual proportions of Taxonomy-aligned and/or Social investments increase. Starting from</w:t>
      </w:r>
      <w:r>
        <w:rPr>
          <w:lang w:val="en-US"/>
        </w:rPr>
        <w:t xml:space="preserve"> </w:t>
      </w:r>
      <w:r w:rsidRPr="00ED4299">
        <w:rPr>
          <w:lang w:val="en-US"/>
        </w:rPr>
        <w:t>1st December 2030, the planned proportion of other environmental investment will be nil.</w:t>
      </w:r>
    </w:p>
    <w:p w14:paraId="4BCB89AD" w14:textId="77777777" w:rsidR="005D46E7" w:rsidRDefault="005D46E7" w:rsidP="005D46E7">
      <w:pPr>
        <w:jc w:val="both"/>
        <w:rPr>
          <w:lang w:val="en-US"/>
        </w:rPr>
      </w:pPr>
    </w:p>
    <w:p w14:paraId="4B2FDE0F" w14:textId="505A798B" w:rsidR="00660D2A" w:rsidRDefault="00216AA6" w:rsidP="00660D2A">
      <w:pPr>
        <w:pStyle w:val="Titre2"/>
        <w:jc w:val="both"/>
        <w:rPr>
          <w:b/>
          <w:color w:val="auto"/>
          <w:lang w:val="en-US"/>
        </w:rPr>
      </w:pPr>
      <w:bookmarkStart w:id="0" w:name="_Hlk137134140"/>
      <w:r w:rsidRPr="00660D2A">
        <w:rPr>
          <w:b/>
          <w:color w:val="auto"/>
          <w:lang w:val="en-US"/>
        </w:rPr>
        <w:t>Monitoring, methodologies, data sources and their limitations, due diligence and engagement policies</w:t>
      </w:r>
    </w:p>
    <w:bookmarkEnd w:id="0"/>
    <w:p w14:paraId="39F59B8B" w14:textId="77777777" w:rsidR="00660D2A" w:rsidRPr="00660D2A" w:rsidRDefault="00660D2A" w:rsidP="00660D2A">
      <w:pPr>
        <w:rPr>
          <w:lang w:val="en-US"/>
        </w:rPr>
      </w:pPr>
    </w:p>
    <w:p w14:paraId="229BBED4" w14:textId="7AD92563" w:rsidR="00A328F0" w:rsidRPr="00742BEF" w:rsidRDefault="00216AA6" w:rsidP="00A328F0">
      <w:pPr>
        <w:jc w:val="both"/>
        <w:rPr>
          <w:rFonts w:eastAsia="Times New Roman"/>
          <w:b/>
          <w:color w:val="7030A0"/>
          <w:lang w:val="en-US" w:eastAsia="fr-FR"/>
        </w:rPr>
      </w:pPr>
      <w:r w:rsidRPr="00742BEF">
        <w:rPr>
          <w:lang w:val="en-US"/>
        </w:rPr>
        <w:t>All ESG data, either external</w:t>
      </w:r>
      <w:r>
        <w:rPr>
          <w:lang w:val="en-US"/>
        </w:rPr>
        <w:t>ly</w:t>
      </w:r>
      <w:r w:rsidRPr="00742BEF">
        <w:rPr>
          <w:lang w:val="en-US"/>
        </w:rPr>
        <w:t xml:space="preserve"> or internally processed, is </w:t>
      </w:r>
      <w:proofErr w:type="spellStart"/>
      <w:r w:rsidRPr="00742BEF">
        <w:rPr>
          <w:lang w:val="en-US"/>
        </w:rPr>
        <w:t>centralised</w:t>
      </w:r>
      <w:proofErr w:type="spellEnd"/>
      <w:r w:rsidRPr="00742BEF">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7F128904" w14:textId="61B51450" w:rsidR="00A328F0" w:rsidRPr="00CC48D2" w:rsidRDefault="00216AA6" w:rsidP="00A328F0">
      <w:pPr>
        <w:rPr>
          <w:lang w:val="en-US"/>
        </w:rPr>
      </w:pPr>
      <w:r w:rsidRPr="00742BEF">
        <w:rPr>
          <w:lang w:val="en-US"/>
        </w:rPr>
        <w:t xml:space="preserve">Sustainability indicators </w:t>
      </w:r>
      <w:r w:rsidRPr="00CC48D2">
        <w:rPr>
          <w:lang w:val="en-US"/>
        </w:rPr>
        <w:t>used within Amundi rely on proprietary methodologies. These indicators are continuously made available in the portfolio management system allowing the portfolio managers to assess the impact of their investment decisions.</w:t>
      </w:r>
    </w:p>
    <w:p w14:paraId="217BEDD1" w14:textId="2C9EC33F" w:rsidR="00A328F0" w:rsidRPr="00CC48D2" w:rsidRDefault="00216AA6" w:rsidP="00A328F0">
      <w:pPr>
        <w:rPr>
          <w:lang w:val="en-US"/>
        </w:rPr>
      </w:pPr>
      <w:r w:rsidRPr="00CC48D2">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1DF8C8C6" w14:textId="06134730" w:rsidR="00A328F0" w:rsidRDefault="00216AA6" w:rsidP="00A328F0">
      <w:pPr>
        <w:jc w:val="both"/>
        <w:rPr>
          <w:lang w:val="en-US"/>
        </w:rPr>
      </w:pPr>
      <w:r w:rsidRPr="00191029">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r>
        <w:rPr>
          <w:lang w:val="en-US"/>
        </w:rPr>
        <w:t>.</w:t>
      </w:r>
    </w:p>
    <w:p w14:paraId="31CE38FA" w14:textId="050403D2" w:rsidR="00A328F0" w:rsidRDefault="00216AA6" w:rsidP="00A328F0">
      <w:pPr>
        <w:jc w:val="both"/>
        <w:rPr>
          <w:lang w:val="en-US"/>
        </w:rPr>
      </w:pPr>
      <w:r w:rsidRPr="00191029">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r>
        <w:rPr>
          <w:lang w:val="en-US"/>
        </w:rPr>
        <w:t>.</w:t>
      </w:r>
    </w:p>
    <w:p w14:paraId="4F6CA211" w14:textId="77777777" w:rsidR="00A328F0" w:rsidRDefault="00216AA6" w:rsidP="00A328F0">
      <w:pPr>
        <w:jc w:val="both"/>
        <w:rPr>
          <w:lang w:val="en-US"/>
        </w:rPr>
      </w:pPr>
      <w:r w:rsidRPr="00270CE8">
        <w:rPr>
          <w:lang w:val="en-US"/>
        </w:rPr>
        <w:t xml:space="preserve">Amundi's ESG scores are built using Amundi's ESG analysis framework and scoring methodology. We source data from the following </w:t>
      </w:r>
      <w:r>
        <w:rPr>
          <w:lang w:val="en-US"/>
        </w:rPr>
        <w:t>sources for ESG scores:  Moody,</w:t>
      </w:r>
      <w:r w:rsidRPr="00270CE8">
        <w:rPr>
          <w:lang w:val="en-US"/>
        </w:rPr>
        <w:t xml:space="preserve"> ISS-Oekem, MSCI, and Sustainalytics. </w:t>
      </w:r>
    </w:p>
    <w:p w14:paraId="258C5830" w14:textId="4F081B16" w:rsidR="00A328F0" w:rsidRPr="00270CE8" w:rsidRDefault="00216AA6" w:rsidP="00A328F0">
      <w:pPr>
        <w:jc w:val="both"/>
        <w:rPr>
          <w:lang w:val="en-US"/>
        </w:rPr>
      </w:pPr>
      <w:r w:rsidRPr="00270CE8">
        <w:rPr>
          <w:lang w:val="en-US"/>
        </w:rPr>
        <w:t xml:space="preserve">Our methodology limitations are by construction linked to use of ESG data. The ESG data landscape is currently being </w:t>
      </w:r>
      <w:proofErr w:type="spellStart"/>
      <w:r w:rsidRPr="00270CE8">
        <w:rPr>
          <w:lang w:val="en-US"/>
        </w:rPr>
        <w:t>standardised</w:t>
      </w:r>
      <w:proofErr w:type="spellEnd"/>
      <w:r w:rsidRPr="00270CE8">
        <w:rPr>
          <w:lang w:val="en-US"/>
        </w:rPr>
        <w:t xml:space="preserve"> which can impact data quality; data coverage also is a limitation. Current and future regulation will improve standardized reporting and corporate disclosures on which ESG data rely.</w:t>
      </w:r>
    </w:p>
    <w:p w14:paraId="2A3BF733" w14:textId="5DC7A4BF" w:rsidR="00A328F0" w:rsidRPr="00270CE8" w:rsidRDefault="00216AA6" w:rsidP="00A328F0">
      <w:pPr>
        <w:jc w:val="both"/>
        <w:rPr>
          <w:lang w:val="en-US"/>
        </w:rPr>
      </w:pPr>
      <w:r w:rsidRPr="00270CE8">
        <w:rPr>
          <w:lang w:val="en-US"/>
        </w:rPr>
        <w:t>We are aware of these limitations which we mitigate</w:t>
      </w:r>
      <w:r>
        <w:rPr>
          <w:lang w:val="en-US"/>
        </w:rPr>
        <w:t xml:space="preserve"> by a combination of approaches.</w:t>
      </w:r>
    </w:p>
    <w:p w14:paraId="3323C329" w14:textId="0E012A7D" w:rsidR="00A328F0" w:rsidRDefault="00216AA6" w:rsidP="00A328F0">
      <w:pPr>
        <w:jc w:val="both"/>
        <w:rPr>
          <w:lang w:val="en-US"/>
        </w:rPr>
      </w:pPr>
      <w:r w:rsidRPr="00AB705A">
        <w:rPr>
          <w:lang w:val="en-US"/>
        </w:rPr>
        <w:t>Each month, the ESG score are recalculated according Amundi quantitative methodology. The result of this calculation is then reviewed by the ESG analysts who</w:t>
      </w:r>
      <w:r w:rsidRPr="00191029">
        <w:rPr>
          <w:lang w:val="en-US"/>
        </w:rPr>
        <w:t xml:space="preserve"> perform a qualitative "sampling control" on its</w:t>
      </w:r>
      <w:r>
        <w:rPr>
          <w:lang w:val="en-US"/>
        </w:rPr>
        <w:t xml:space="preserve"> sector based on various checks. </w:t>
      </w:r>
    </w:p>
    <w:p w14:paraId="7E02B908" w14:textId="77777777" w:rsidR="00A328F0" w:rsidRPr="00A328F0" w:rsidRDefault="00216AA6" w:rsidP="00A328F0">
      <w:pPr>
        <w:rPr>
          <w:lang w:val="en-US"/>
        </w:rPr>
      </w:pPr>
      <w:r w:rsidRPr="00A328F0">
        <w:rPr>
          <w:lang w:val="en-US"/>
        </w:rPr>
        <w:t>Amundi engages investee or potential investee companies at the issuer level regardless of the type of holdings held (equity and bonds).</w:t>
      </w:r>
    </w:p>
    <w:p w14:paraId="6FD744C4" w14:textId="30760732" w:rsidR="00660D2A" w:rsidRDefault="00660D2A" w:rsidP="00660D2A">
      <w:pPr>
        <w:jc w:val="both"/>
        <w:rPr>
          <w:lang w:val="en-US"/>
        </w:rPr>
      </w:pPr>
    </w:p>
    <w:p w14:paraId="3AFEC389" w14:textId="77777777" w:rsidR="00660D2A" w:rsidRPr="005E1D0B" w:rsidRDefault="00660D2A" w:rsidP="00660D2A">
      <w:pPr>
        <w:jc w:val="both"/>
        <w:rPr>
          <w:lang w:val="en-US"/>
        </w:rPr>
      </w:pPr>
    </w:p>
    <w:sectPr w:rsidR="00660D2A" w:rsidRPr="005E1D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8F84" w14:textId="77777777" w:rsidR="006653E9" w:rsidRDefault="006653E9" w:rsidP="006653E9">
      <w:pPr>
        <w:spacing w:after="0" w:line="240" w:lineRule="auto"/>
      </w:pPr>
      <w:r>
        <w:separator/>
      </w:r>
    </w:p>
  </w:endnote>
  <w:endnote w:type="continuationSeparator" w:id="0">
    <w:p w14:paraId="316C1CBF" w14:textId="77777777" w:rsidR="006653E9" w:rsidRDefault="006653E9" w:rsidP="0066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06549" w14:textId="77777777" w:rsidR="006653E9" w:rsidRDefault="006653E9" w:rsidP="006653E9">
      <w:pPr>
        <w:spacing w:after="0" w:line="240" w:lineRule="auto"/>
      </w:pPr>
      <w:r>
        <w:separator/>
      </w:r>
    </w:p>
  </w:footnote>
  <w:footnote w:type="continuationSeparator" w:id="0">
    <w:p w14:paraId="58F43FBC" w14:textId="77777777" w:rsidR="006653E9" w:rsidRDefault="006653E9" w:rsidP="00665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E1162"/>
    <w:multiLevelType w:val="hybridMultilevel"/>
    <w:tmpl w:val="6ACC7730"/>
    <w:lvl w:ilvl="0" w:tplc="2CB47580">
      <w:start w:val="1"/>
      <w:numFmt w:val="lowerLetter"/>
      <w:lvlText w:val="(%1)"/>
      <w:lvlJc w:val="left"/>
      <w:pPr>
        <w:ind w:left="720" w:hanging="360"/>
      </w:pPr>
      <w:rPr>
        <w:rFonts w:hint="default"/>
      </w:rPr>
    </w:lvl>
    <w:lvl w:ilvl="1" w:tplc="0A6048F0" w:tentative="1">
      <w:start w:val="1"/>
      <w:numFmt w:val="lowerLetter"/>
      <w:lvlText w:val="%2."/>
      <w:lvlJc w:val="left"/>
      <w:pPr>
        <w:ind w:left="1440" w:hanging="360"/>
      </w:pPr>
    </w:lvl>
    <w:lvl w:ilvl="2" w:tplc="75083A2E" w:tentative="1">
      <w:start w:val="1"/>
      <w:numFmt w:val="lowerRoman"/>
      <w:lvlText w:val="%3."/>
      <w:lvlJc w:val="right"/>
      <w:pPr>
        <w:ind w:left="2160" w:hanging="180"/>
      </w:pPr>
    </w:lvl>
    <w:lvl w:ilvl="3" w:tplc="8A0C529C" w:tentative="1">
      <w:start w:val="1"/>
      <w:numFmt w:val="decimal"/>
      <w:lvlText w:val="%4."/>
      <w:lvlJc w:val="left"/>
      <w:pPr>
        <w:ind w:left="2880" w:hanging="360"/>
      </w:pPr>
    </w:lvl>
    <w:lvl w:ilvl="4" w:tplc="811CB30E" w:tentative="1">
      <w:start w:val="1"/>
      <w:numFmt w:val="lowerLetter"/>
      <w:lvlText w:val="%5."/>
      <w:lvlJc w:val="left"/>
      <w:pPr>
        <w:ind w:left="3600" w:hanging="360"/>
      </w:pPr>
    </w:lvl>
    <w:lvl w:ilvl="5" w:tplc="9934EFAC" w:tentative="1">
      <w:start w:val="1"/>
      <w:numFmt w:val="lowerRoman"/>
      <w:lvlText w:val="%6."/>
      <w:lvlJc w:val="right"/>
      <w:pPr>
        <w:ind w:left="4320" w:hanging="180"/>
      </w:pPr>
    </w:lvl>
    <w:lvl w:ilvl="6" w:tplc="39A61A2A" w:tentative="1">
      <w:start w:val="1"/>
      <w:numFmt w:val="decimal"/>
      <w:lvlText w:val="%7."/>
      <w:lvlJc w:val="left"/>
      <w:pPr>
        <w:ind w:left="5040" w:hanging="360"/>
      </w:pPr>
    </w:lvl>
    <w:lvl w:ilvl="7" w:tplc="34E6AEC8" w:tentative="1">
      <w:start w:val="1"/>
      <w:numFmt w:val="lowerLetter"/>
      <w:lvlText w:val="%8."/>
      <w:lvlJc w:val="left"/>
      <w:pPr>
        <w:ind w:left="5760" w:hanging="360"/>
      </w:pPr>
    </w:lvl>
    <w:lvl w:ilvl="8" w:tplc="C16CBD3A" w:tentative="1">
      <w:start w:val="1"/>
      <w:numFmt w:val="lowerRoman"/>
      <w:lvlText w:val="%9."/>
      <w:lvlJc w:val="right"/>
      <w:pPr>
        <w:ind w:left="6480" w:hanging="180"/>
      </w:pPr>
    </w:lvl>
  </w:abstractNum>
  <w:abstractNum w:abstractNumId="1" w15:restartNumberingAfterBreak="0">
    <w:nsid w:val="7A944A4F"/>
    <w:multiLevelType w:val="hybridMultilevel"/>
    <w:tmpl w:val="22CEBE50"/>
    <w:lvl w:ilvl="0" w:tplc="332A4C6A">
      <w:start w:val="1"/>
      <w:numFmt w:val="lowerRoman"/>
      <w:lvlText w:val="(%1)"/>
      <w:lvlJc w:val="left"/>
      <w:pPr>
        <w:ind w:left="1080" w:hanging="720"/>
      </w:pPr>
      <w:rPr>
        <w:rFonts w:hint="default"/>
      </w:rPr>
    </w:lvl>
    <w:lvl w:ilvl="1" w:tplc="DA4E8182" w:tentative="1">
      <w:start w:val="1"/>
      <w:numFmt w:val="lowerLetter"/>
      <w:lvlText w:val="%2."/>
      <w:lvlJc w:val="left"/>
      <w:pPr>
        <w:ind w:left="1440" w:hanging="360"/>
      </w:pPr>
    </w:lvl>
    <w:lvl w:ilvl="2" w:tplc="C3C85272" w:tentative="1">
      <w:start w:val="1"/>
      <w:numFmt w:val="lowerRoman"/>
      <w:lvlText w:val="%3."/>
      <w:lvlJc w:val="right"/>
      <w:pPr>
        <w:ind w:left="2160" w:hanging="180"/>
      </w:pPr>
    </w:lvl>
    <w:lvl w:ilvl="3" w:tplc="45AC49C4" w:tentative="1">
      <w:start w:val="1"/>
      <w:numFmt w:val="decimal"/>
      <w:lvlText w:val="%4."/>
      <w:lvlJc w:val="left"/>
      <w:pPr>
        <w:ind w:left="2880" w:hanging="360"/>
      </w:pPr>
    </w:lvl>
    <w:lvl w:ilvl="4" w:tplc="6504CA98" w:tentative="1">
      <w:start w:val="1"/>
      <w:numFmt w:val="lowerLetter"/>
      <w:lvlText w:val="%5."/>
      <w:lvlJc w:val="left"/>
      <w:pPr>
        <w:ind w:left="3600" w:hanging="360"/>
      </w:pPr>
    </w:lvl>
    <w:lvl w:ilvl="5" w:tplc="E5E067F8" w:tentative="1">
      <w:start w:val="1"/>
      <w:numFmt w:val="lowerRoman"/>
      <w:lvlText w:val="%6."/>
      <w:lvlJc w:val="right"/>
      <w:pPr>
        <w:ind w:left="4320" w:hanging="180"/>
      </w:pPr>
    </w:lvl>
    <w:lvl w:ilvl="6" w:tplc="F46A4CF0" w:tentative="1">
      <w:start w:val="1"/>
      <w:numFmt w:val="decimal"/>
      <w:lvlText w:val="%7."/>
      <w:lvlJc w:val="left"/>
      <w:pPr>
        <w:ind w:left="5040" w:hanging="360"/>
      </w:pPr>
    </w:lvl>
    <w:lvl w:ilvl="7" w:tplc="172418AC" w:tentative="1">
      <w:start w:val="1"/>
      <w:numFmt w:val="lowerLetter"/>
      <w:lvlText w:val="%8."/>
      <w:lvlJc w:val="left"/>
      <w:pPr>
        <w:ind w:left="5760" w:hanging="360"/>
      </w:pPr>
    </w:lvl>
    <w:lvl w:ilvl="8" w:tplc="F176C648" w:tentative="1">
      <w:start w:val="1"/>
      <w:numFmt w:val="lowerRoman"/>
      <w:lvlText w:val="%9."/>
      <w:lvlJc w:val="right"/>
      <w:pPr>
        <w:ind w:left="6480" w:hanging="180"/>
      </w:pPr>
    </w:lvl>
  </w:abstractNum>
  <w:num w:numId="1" w16cid:durableId="164328651">
    <w:abstractNumId w:val="0"/>
  </w:num>
  <w:num w:numId="2" w16cid:durableId="185212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5157"/>
    <w:rsid w:val="00022891"/>
    <w:rsid w:val="0002450E"/>
    <w:rsid w:val="00026FC5"/>
    <w:rsid w:val="0006486C"/>
    <w:rsid w:val="000975C6"/>
    <w:rsid w:val="000B2909"/>
    <w:rsid w:val="000E1A13"/>
    <w:rsid w:val="000E409D"/>
    <w:rsid w:val="001030C4"/>
    <w:rsid w:val="0010710C"/>
    <w:rsid w:val="001510FB"/>
    <w:rsid w:val="001846E0"/>
    <w:rsid w:val="00191029"/>
    <w:rsid w:val="001915D9"/>
    <w:rsid w:val="00193AE6"/>
    <w:rsid w:val="001A0C5A"/>
    <w:rsid w:val="001B13EB"/>
    <w:rsid w:val="001C5CE5"/>
    <w:rsid w:val="001E1184"/>
    <w:rsid w:val="001E7BD5"/>
    <w:rsid w:val="002121C4"/>
    <w:rsid w:val="00216AA6"/>
    <w:rsid w:val="002473A3"/>
    <w:rsid w:val="00252E7E"/>
    <w:rsid w:val="00270CE8"/>
    <w:rsid w:val="002E36B3"/>
    <w:rsid w:val="003074E3"/>
    <w:rsid w:val="0033164A"/>
    <w:rsid w:val="00380F75"/>
    <w:rsid w:val="00395D8D"/>
    <w:rsid w:val="003A552F"/>
    <w:rsid w:val="003C68FA"/>
    <w:rsid w:val="003E5E45"/>
    <w:rsid w:val="003F0A0C"/>
    <w:rsid w:val="00416FF6"/>
    <w:rsid w:val="00430679"/>
    <w:rsid w:val="00434855"/>
    <w:rsid w:val="004E1EE5"/>
    <w:rsid w:val="004E217C"/>
    <w:rsid w:val="004E5229"/>
    <w:rsid w:val="004F04E8"/>
    <w:rsid w:val="005324D2"/>
    <w:rsid w:val="00540C2B"/>
    <w:rsid w:val="00546083"/>
    <w:rsid w:val="00581802"/>
    <w:rsid w:val="005A41D6"/>
    <w:rsid w:val="005B0C03"/>
    <w:rsid w:val="005D37EA"/>
    <w:rsid w:val="005D46E7"/>
    <w:rsid w:val="005E1D0B"/>
    <w:rsid w:val="005F282A"/>
    <w:rsid w:val="00625536"/>
    <w:rsid w:val="00652565"/>
    <w:rsid w:val="00660D2A"/>
    <w:rsid w:val="006653E9"/>
    <w:rsid w:val="00682A6E"/>
    <w:rsid w:val="00684CC0"/>
    <w:rsid w:val="006B7DCE"/>
    <w:rsid w:val="006C2A16"/>
    <w:rsid w:val="006D42B5"/>
    <w:rsid w:val="00701615"/>
    <w:rsid w:val="007063CE"/>
    <w:rsid w:val="00721242"/>
    <w:rsid w:val="007408EB"/>
    <w:rsid w:val="00742BEF"/>
    <w:rsid w:val="007616B8"/>
    <w:rsid w:val="00774DA0"/>
    <w:rsid w:val="007A1C6D"/>
    <w:rsid w:val="007C214F"/>
    <w:rsid w:val="007C5B2B"/>
    <w:rsid w:val="00804D67"/>
    <w:rsid w:val="008229A6"/>
    <w:rsid w:val="00846F3E"/>
    <w:rsid w:val="0085231C"/>
    <w:rsid w:val="00881F33"/>
    <w:rsid w:val="008B40A5"/>
    <w:rsid w:val="008C4FC0"/>
    <w:rsid w:val="008F270F"/>
    <w:rsid w:val="008F67B5"/>
    <w:rsid w:val="00903AB6"/>
    <w:rsid w:val="009142DA"/>
    <w:rsid w:val="00937E24"/>
    <w:rsid w:val="00957419"/>
    <w:rsid w:val="009A0C3A"/>
    <w:rsid w:val="009D31E9"/>
    <w:rsid w:val="009E13F3"/>
    <w:rsid w:val="00A028FB"/>
    <w:rsid w:val="00A328F0"/>
    <w:rsid w:val="00A4406F"/>
    <w:rsid w:val="00A55FC0"/>
    <w:rsid w:val="00A60786"/>
    <w:rsid w:val="00A70259"/>
    <w:rsid w:val="00A769E5"/>
    <w:rsid w:val="00A9013E"/>
    <w:rsid w:val="00A93F2B"/>
    <w:rsid w:val="00AA7FDA"/>
    <w:rsid w:val="00AB705A"/>
    <w:rsid w:val="00B11BC5"/>
    <w:rsid w:val="00B237C7"/>
    <w:rsid w:val="00B35121"/>
    <w:rsid w:val="00B363AE"/>
    <w:rsid w:val="00B9559A"/>
    <w:rsid w:val="00BC4F5A"/>
    <w:rsid w:val="00BF499C"/>
    <w:rsid w:val="00C15A78"/>
    <w:rsid w:val="00C2259E"/>
    <w:rsid w:val="00C22633"/>
    <w:rsid w:val="00C348D9"/>
    <w:rsid w:val="00C4165D"/>
    <w:rsid w:val="00C52384"/>
    <w:rsid w:val="00C57DD3"/>
    <w:rsid w:val="00C90A0A"/>
    <w:rsid w:val="00C9768C"/>
    <w:rsid w:val="00CB60E8"/>
    <w:rsid w:val="00CB6D7C"/>
    <w:rsid w:val="00CC48D2"/>
    <w:rsid w:val="00CE3942"/>
    <w:rsid w:val="00CF7311"/>
    <w:rsid w:val="00D23EA2"/>
    <w:rsid w:val="00D91EF9"/>
    <w:rsid w:val="00DA1CE3"/>
    <w:rsid w:val="00DB7258"/>
    <w:rsid w:val="00DC0829"/>
    <w:rsid w:val="00DF6E50"/>
    <w:rsid w:val="00E066EA"/>
    <w:rsid w:val="00E62F13"/>
    <w:rsid w:val="00E7671C"/>
    <w:rsid w:val="00E90937"/>
    <w:rsid w:val="00E92B5C"/>
    <w:rsid w:val="00E979C6"/>
    <w:rsid w:val="00EB46E2"/>
    <w:rsid w:val="00EB7400"/>
    <w:rsid w:val="00EC681C"/>
    <w:rsid w:val="00ED4299"/>
    <w:rsid w:val="00ED57B7"/>
    <w:rsid w:val="00F6179F"/>
    <w:rsid w:val="00FA1A10"/>
    <w:rsid w:val="00FA74F1"/>
    <w:rsid w:val="00FC3984"/>
    <w:rsid w:val="00FD642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1CE3"/>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basedOn w:val="Normal"/>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328F0"/>
    <w:pPr>
      <w:tabs>
        <w:tab w:val="center" w:pos="4536"/>
        <w:tab w:val="right" w:pos="9072"/>
      </w:tabs>
      <w:spacing w:after="0" w:line="240" w:lineRule="auto"/>
    </w:pPr>
  </w:style>
  <w:style w:type="character" w:customStyle="1" w:styleId="En-tteCar">
    <w:name w:val="En-tête Car"/>
    <w:basedOn w:val="Policepardfaut"/>
    <w:link w:val="En-tte"/>
    <w:uiPriority w:val="99"/>
    <w:rsid w:val="00A328F0"/>
  </w:style>
  <w:style w:type="paragraph" w:styleId="Pieddepage">
    <w:name w:val="footer"/>
    <w:basedOn w:val="Normal"/>
    <w:link w:val="PieddepageCar"/>
    <w:uiPriority w:val="99"/>
    <w:unhideWhenUsed/>
    <w:rsid w:val="00A328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28F0"/>
  </w:style>
  <w:style w:type="paragraph" w:customStyle="1" w:styleId="AMNormal">
    <w:name w:val="A&amp;M Normal"/>
    <w:qFormat/>
    <w:rsid w:val="00903AB6"/>
    <w:pPr>
      <w:spacing w:before="280" w:after="280" w:line="268"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903AB6"/>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258">
      <w:bodyDiv w:val="1"/>
      <w:marLeft w:val="0"/>
      <w:marRight w:val="0"/>
      <w:marTop w:val="0"/>
      <w:marBottom w:val="0"/>
      <w:divBdr>
        <w:top w:val="none" w:sz="0" w:space="0" w:color="auto"/>
        <w:left w:val="none" w:sz="0" w:space="0" w:color="auto"/>
        <w:bottom w:val="none" w:sz="0" w:space="0" w:color="auto"/>
        <w:right w:val="none" w:sz="0" w:space="0" w:color="auto"/>
      </w:divBdr>
    </w:div>
    <w:div w:id="353389404">
      <w:bodyDiv w:val="1"/>
      <w:marLeft w:val="0"/>
      <w:marRight w:val="0"/>
      <w:marTop w:val="0"/>
      <w:marBottom w:val="0"/>
      <w:divBdr>
        <w:top w:val="none" w:sz="0" w:space="0" w:color="auto"/>
        <w:left w:val="none" w:sz="0" w:space="0" w:color="auto"/>
        <w:bottom w:val="none" w:sz="0" w:space="0" w:color="auto"/>
        <w:right w:val="none" w:sz="0" w:space="0" w:color="auto"/>
      </w:divBdr>
    </w:div>
    <w:div w:id="470908287">
      <w:bodyDiv w:val="1"/>
      <w:marLeft w:val="0"/>
      <w:marRight w:val="0"/>
      <w:marTop w:val="0"/>
      <w:marBottom w:val="0"/>
      <w:divBdr>
        <w:top w:val="none" w:sz="0" w:space="0" w:color="auto"/>
        <w:left w:val="none" w:sz="0" w:space="0" w:color="auto"/>
        <w:bottom w:val="none" w:sz="0" w:space="0" w:color="auto"/>
        <w:right w:val="none" w:sz="0" w:space="0" w:color="auto"/>
      </w:divBdr>
    </w:div>
    <w:div w:id="546142863">
      <w:bodyDiv w:val="1"/>
      <w:marLeft w:val="0"/>
      <w:marRight w:val="0"/>
      <w:marTop w:val="0"/>
      <w:marBottom w:val="0"/>
      <w:divBdr>
        <w:top w:val="none" w:sz="0" w:space="0" w:color="auto"/>
        <w:left w:val="none" w:sz="0" w:space="0" w:color="auto"/>
        <w:bottom w:val="none" w:sz="0" w:space="0" w:color="auto"/>
        <w:right w:val="none" w:sz="0" w:space="0" w:color="auto"/>
      </w:divBdr>
    </w:div>
    <w:div w:id="564416017">
      <w:bodyDiv w:val="1"/>
      <w:marLeft w:val="0"/>
      <w:marRight w:val="0"/>
      <w:marTop w:val="0"/>
      <w:marBottom w:val="0"/>
      <w:divBdr>
        <w:top w:val="none" w:sz="0" w:space="0" w:color="auto"/>
        <w:left w:val="none" w:sz="0" w:space="0" w:color="auto"/>
        <w:bottom w:val="none" w:sz="0" w:space="0" w:color="auto"/>
        <w:right w:val="none" w:sz="0" w:space="0" w:color="auto"/>
      </w:divBdr>
      <w:divsChild>
        <w:div w:id="1368214657">
          <w:marLeft w:val="0"/>
          <w:marRight w:val="0"/>
          <w:marTop w:val="0"/>
          <w:marBottom w:val="0"/>
          <w:divBdr>
            <w:top w:val="none" w:sz="0" w:space="0" w:color="auto"/>
            <w:left w:val="none" w:sz="0" w:space="0" w:color="auto"/>
            <w:bottom w:val="none" w:sz="0" w:space="0" w:color="auto"/>
            <w:right w:val="none" w:sz="0" w:space="0" w:color="auto"/>
          </w:divBdr>
          <w:divsChild>
            <w:div w:id="17316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2978">
      <w:bodyDiv w:val="1"/>
      <w:marLeft w:val="0"/>
      <w:marRight w:val="0"/>
      <w:marTop w:val="0"/>
      <w:marBottom w:val="0"/>
      <w:divBdr>
        <w:top w:val="none" w:sz="0" w:space="0" w:color="auto"/>
        <w:left w:val="none" w:sz="0" w:space="0" w:color="auto"/>
        <w:bottom w:val="none" w:sz="0" w:space="0" w:color="auto"/>
        <w:right w:val="none" w:sz="0" w:space="0" w:color="auto"/>
      </w:divBdr>
      <w:divsChild>
        <w:div w:id="1441536269">
          <w:marLeft w:val="0"/>
          <w:marRight w:val="0"/>
          <w:marTop w:val="0"/>
          <w:marBottom w:val="0"/>
          <w:divBdr>
            <w:top w:val="none" w:sz="0" w:space="0" w:color="auto"/>
            <w:left w:val="none" w:sz="0" w:space="0" w:color="auto"/>
            <w:bottom w:val="none" w:sz="0" w:space="0" w:color="auto"/>
            <w:right w:val="none" w:sz="0" w:space="0" w:color="auto"/>
          </w:divBdr>
          <w:divsChild>
            <w:div w:id="20096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35143">
      <w:bodyDiv w:val="1"/>
      <w:marLeft w:val="0"/>
      <w:marRight w:val="0"/>
      <w:marTop w:val="0"/>
      <w:marBottom w:val="0"/>
      <w:divBdr>
        <w:top w:val="none" w:sz="0" w:space="0" w:color="auto"/>
        <w:left w:val="none" w:sz="0" w:space="0" w:color="auto"/>
        <w:bottom w:val="none" w:sz="0" w:space="0" w:color="auto"/>
        <w:right w:val="none" w:sz="0" w:space="0" w:color="auto"/>
      </w:divBdr>
    </w:div>
    <w:div w:id="187978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757</Words>
  <Characters>4494</Characters>
  <Application>Microsoft Office Word</Application>
  <DocSecurity>0</DocSecurity>
  <Lines>264</Lines>
  <Paragraphs>181</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90</cp:revision>
  <dcterms:created xsi:type="dcterms:W3CDTF">2022-11-23T07:29:00Z</dcterms:created>
  <dcterms:modified xsi:type="dcterms:W3CDTF">2025-04-28T08:48:00Z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