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FE221D" w:rsidP="00432E0E" w14:paraId="4D454DB6" w14:textId="0A9E014F">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rsidR="00DD5480" w:rsidRPr="008309FE" w:rsidP="00DD5480" w14:paraId="31B4C1E0" w14:textId="43989400">
      <w:pPr>
        <w:jc w:val="center"/>
        <w:rPr>
          <w:b/>
          <w:color w:val="004F9F" w:themeColor="accent2"/>
          <w:sz w:val="24"/>
          <w:szCs w:val="24"/>
          <w:lang w:val="en-US"/>
        </w:rPr>
      </w:pPr>
      <w:r w:rsidRPr="008309FE">
        <w:rPr>
          <w:b/>
          <w:color w:val="004F9F" w:themeColor="accent2"/>
          <w:sz w:val="24"/>
          <w:szCs w:val="24"/>
          <w:lang w:val="en-US"/>
        </w:rPr>
        <w:t>SUMMARY</w:t>
      </w:r>
    </w:p>
    <w:p w:rsidR="001B13EB" w:rsidRPr="00C2259E" w:rsidP="00C15A78" w14:paraId="7207B8A6" w14:textId="7E7E8C68">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Future Mobility ESG Screened</w:t>
            </w:r>
          </w:p>
        </w:tc>
        <w:tc>
          <w:tcPr>
            <w:tcW w:w="5103" w:type="dxa"/>
          </w:tcPr>
          <w:p w:rsidR="007528F2" w:rsidP="003F0A0C" w14:paraId="518E4A1E" w14:textId="77777777">
            <w:pPr>
              <w:ind w:right="-851"/>
              <w:rPr>
                <w:lang w:val="it-IT"/>
              </w:rPr>
            </w:pPr>
            <w:r w:rsidRPr="007528F2">
              <w:rPr>
                <w:b/>
                <w:bCs/>
                <w:lang w:val="it-IT"/>
              </w:rPr>
              <w:t xml:space="preserve">Legal </w:t>
            </w:r>
            <w:r w:rsidRPr="007528F2">
              <w:rPr>
                <w:b/>
                <w:bCs/>
                <w:lang w:val="it-IT"/>
              </w:rPr>
              <w:t>entity</w:t>
            </w:r>
            <w:r w:rsidRPr="007528F2">
              <w:rPr>
                <w:b/>
                <w:bCs/>
                <w:lang w:val="it-IT"/>
              </w:rPr>
              <w:t xml:space="preserve"> </w:t>
            </w:r>
            <w:r w:rsidRPr="007528F2">
              <w:rPr>
                <w:b/>
                <w:bCs/>
                <w:lang w:val="it-IT"/>
              </w:rPr>
              <w:t>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r w:rsidRPr="007528F2">
              <w:rPr>
                <w:lang w:val="it-IT"/>
              </w:rPr>
              <w:t>549300ESOA4DFAOGB895</w:t>
            </w:r>
          </w:p>
        </w:tc>
      </w:tr>
    </w:tbl>
    <w:p w:rsidR="00CB6D7C" w:rsidRPr="001720F2" w:rsidP="00DD5480" w14:paraId="6B980FDB" w14:textId="287CC04B">
      <w:pPr>
        <w:ind w:right="-851"/>
        <w:jc w:val="both"/>
        <w:rPr>
          <w:lang w:val="en-US"/>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F03360" w:rsidP="00F03360" w14:paraId="427CB2CF" w14:textId="4C0738EC">
      <w:pPr>
        <w:jc w:val="both"/>
        <w:rPr>
          <w:lang w:val="en-US"/>
        </w:rPr>
      </w:pPr>
      <w:r w:rsidRPr="00395D8D">
        <w:rPr>
          <w:lang w:val="en-US"/>
        </w:rPr>
        <w:t>This financial product promotes environmental or social characteristics, but does not have as its objective sustainable investment</w:t>
      </w:r>
    </w:p>
    <w:p w:rsidR="00395D8D" w:rsidRPr="00395D8D" w:rsidP="00395D8D" w14:paraId="4C1F8070" w14:textId="57FC059F">
      <w:pPr>
        <w:tabs>
          <w:tab w:val="num" w:pos="1560"/>
        </w:tabs>
        <w:spacing w:after="0"/>
        <w:jc w:val="both"/>
        <w:rPr>
          <w:lang w:val="en-GB"/>
        </w:rPr>
      </w:pPr>
    </w:p>
    <w:p w:rsidR="00395D8D" w:rsidP="00395D8D" w14:paraId="41DAC569" w14:textId="27DFE8D4">
      <w:pPr>
        <w:jc w:val="both"/>
        <w:rPr>
          <w:lang w:val="en-US"/>
        </w:rPr>
      </w:pPr>
      <w:r w:rsidRPr="00395D8D">
        <w:rPr>
          <w:lang w:val="en-US"/>
        </w:rPr>
        <w:t>This financial product commits to making sustainable investments.</w:t>
      </w:r>
    </w:p>
    <w:p w:rsidR="00103686" w:rsidRPr="00F03360" w:rsidP="00103686" w14:paraId="4C4E6F5D" w14:textId="77777777">
      <w:pPr>
        <w:jc w:val="both"/>
        <w:rPr>
          <w:lang w:val="en-US"/>
        </w:rPr>
      </w:pPr>
      <w:r w:rsidRPr="00F03360">
        <w:rPr>
          <w:lang w:val="en-US"/>
        </w:rPr>
        <w:t xml:space="preserve">To ensure sustainable investments do no significant harm (‘DNSH’), </w:t>
      </w:r>
      <w:r w:rsidRPr="00F03360">
        <w:rPr>
          <w:lang w:val="en-US"/>
        </w:rPr>
        <w:t>Amundi</w:t>
      </w:r>
      <w:r w:rsidRPr="00F03360">
        <w:rPr>
          <w:lang w:val="en-US"/>
        </w:rPr>
        <w:t xml:space="preserve"> utilizes two filters:</w:t>
      </w:r>
    </w:p>
    <w:p w:rsidR="00103686" w:rsidRPr="005623A1" w:rsidP="00103686" w14:paraId="78131D4C" w14:textId="77777777">
      <w:pPr>
        <w:pStyle w:val="ListParagraph"/>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rsidR="00103686" w:rsidRPr="005623A1" w:rsidP="00103686" w14:paraId="1057D6A3" w14:textId="77777777">
      <w:pPr>
        <w:pStyle w:val="ListParagraph"/>
        <w:jc w:val="both"/>
        <w:rPr>
          <w:lang w:val="en-US"/>
        </w:rPr>
      </w:pPr>
      <w:r w:rsidRPr="005623A1">
        <w:rPr>
          <w:lang w:val="en-US"/>
        </w:rPr>
        <w:t>Amundi</w:t>
      </w:r>
      <w:r w:rsidRPr="005623A1">
        <w:rPr>
          <w:lang w:val="en-US"/>
        </w:rPr>
        <w:t xml:space="preserve"> already considers specific Principal Adverse Impacts within its exclusion policy as part of </w:t>
      </w:r>
      <w:r w:rsidRPr="005623A1">
        <w:rPr>
          <w:lang w:val="en-US"/>
        </w:rPr>
        <w:t>Amundi’s</w:t>
      </w:r>
      <w:r w:rsidRPr="005623A1">
        <w:rPr>
          <w:lang w:val="en-US"/>
        </w:rPr>
        <w:t xml:space="preserve"> Responsible Investment Policy. These exclusions, which apply on the top of the tests detailed above, cover the following topics: exclusions on controversial weapons, violations of UN Global Compact principles, coal and tobacco.</w:t>
      </w:r>
    </w:p>
    <w:p w:rsidR="00103686" w:rsidRPr="005623A1" w:rsidP="00103686" w14:paraId="14D1DF98" w14:textId="77777777">
      <w:pPr>
        <w:pStyle w:val="ListParagraph"/>
        <w:numPr>
          <w:ilvl w:val="0"/>
          <w:numId w:val="6"/>
        </w:numPr>
        <w:jc w:val="both"/>
        <w:rPr>
          <w:lang w:val="en-US"/>
        </w:rPr>
      </w:pPr>
      <w:r w:rsidRPr="005623A1">
        <w:rPr>
          <w:lang w:val="en-US"/>
        </w:rPr>
        <w:t xml:space="preserve">Beyond the specific Principal Adverse Impacts indicators sustainability factors covered in the first filter, </w:t>
      </w:r>
      <w:r w:rsidRPr="005623A1">
        <w:rPr>
          <w:lang w:val="en-US"/>
        </w:rPr>
        <w:t>Amundi</w:t>
      </w:r>
      <w:r w:rsidRPr="005623A1">
        <w:rPr>
          <w:lang w:val="en-US"/>
        </w:rPr>
        <w:t xml:space="preserve">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w:t>
      </w:r>
      <w:r w:rsidRPr="005623A1">
        <w:rPr>
          <w:lang w:val="en-US"/>
        </w:rPr>
        <w:t>Amundi’s</w:t>
      </w:r>
      <w:r w:rsidRPr="005623A1">
        <w:rPr>
          <w:lang w:val="en-US"/>
        </w:rPr>
        <w:t xml:space="preserve"> ESG rating. </w:t>
      </w:r>
    </w:p>
    <w:p w:rsidR="00103686" w:rsidP="00103686" w14:paraId="527B7C6B" w14:textId="77777777">
      <w:pPr>
        <w:jc w:val="both"/>
        <w:rPr>
          <w:rFonts w:cstheme="minorHAnsi"/>
          <w:lang w:val="en-US"/>
        </w:rPr>
      </w:pPr>
    </w:p>
    <w:p w:rsidR="00103686" w:rsidRPr="00F03360" w:rsidP="00103686" w14:paraId="66610988" w14:textId="77777777">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rsidR="00103686" w:rsidRPr="008F3945" w:rsidP="00103686" w14:paraId="33B79F7E" w14:textId="77777777">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rsidR="00103686" w:rsidRPr="00E93383" w:rsidP="00103686" w14:paraId="266E6CA2" w14:textId="77777777">
      <w:pPr>
        <w:pStyle w:val="ListParagraph"/>
        <w:jc w:val="both"/>
        <w:rPr>
          <w:rFonts w:cstheme="minorHAnsi"/>
          <w:iCs/>
          <w:sz w:val="20"/>
          <w:szCs w:val="20"/>
          <w:lang w:val="en-US"/>
        </w:rPr>
      </w:pPr>
    </w:p>
    <w:p w:rsidR="00103686" w:rsidRPr="005623A1" w:rsidP="00103686" w14:paraId="754A3DBE" w14:textId="77777777">
      <w:pPr>
        <w:pStyle w:val="ListParagraph"/>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rsidR="00103686" w:rsidRPr="005623A1" w:rsidP="00103686" w14:paraId="3C2F9963" w14:textId="77777777">
      <w:pPr>
        <w:pStyle w:val="ListParagraph"/>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rsidR="00103686" w:rsidRPr="005623A1" w:rsidP="00103686" w14:paraId="091C2C15" w14:textId="77777777">
      <w:pPr>
        <w:pStyle w:val="ListParagraph"/>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rsidR="00103686" w:rsidRPr="005623A1" w:rsidP="00103686" w14:paraId="18D3CF30" w14:textId="77777777">
      <w:pPr>
        <w:pStyle w:val="ListParagraph"/>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rsidR="00103686" w:rsidP="00103686" w14:paraId="10C028B3" w14:textId="77777777">
      <w:pPr>
        <w:jc w:val="both"/>
        <w:rPr>
          <w:lang w:val="en-US"/>
        </w:rPr>
      </w:pPr>
    </w:p>
    <w:p w:rsidR="00103686" w:rsidRPr="00C2259E" w:rsidP="00103686" w14:paraId="36E620B6" w14:textId="77777777">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rsidR="00103686" w:rsidP="00395D8D" w14:paraId="53F3D565" w14:textId="77777777">
      <w:pPr>
        <w:jc w:val="both"/>
        <w:rPr>
          <w:lang w:val="en-US"/>
        </w:rPr>
      </w:pPr>
    </w:p>
    <w:p w:rsidR="00395D8D" w:rsidRPr="00395D8D" w:rsidP="00F03360" w14:paraId="61B94060" w14:textId="00D41ADA">
      <w:pPr>
        <w:jc w:val="both"/>
        <w:rPr>
          <w:lang w:val="en-US"/>
        </w:rPr>
      </w:pPr>
      <w:r w:rsidRPr="00C2259E">
        <w:rPr>
          <w:lang w:val="en-US"/>
        </w:rPr>
        <w:t xml:space="preserve"> </w:t>
      </w: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Sub-Fund promotes environmental and/or social characteristics through among others, replicating an Index integrating an environmental, social and governance (“ESG”) rating.</w:t>
        <w:cr/>
        <w:t>
The Index methodology is constructed using a “Best-in-class approach”: best ranked companies are selected to construct the Index.
“Best-in-class” is an approach where leading or best-performing investments are selected within a universe, industry sector or class. Using such Best-in-class approach, the Index follows an extra-financial approach significantly engaging that permits the reduction by at least 20% of the initial investment universe (expressed in number of issuers).</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The Sub-Fund objective is to track the performance of MSCI ACWI IMI Future Mobility ESG Filtered Index (“the Index“), and to minimize the tracking error between the net asset value of the sub-fund and the performance of the Index.</w:t>
        <w:cr/>
        <w:t>
The Index aims to represent the performance of companies that are expected to derive significant revenues from energy storage technologies, autonomous vehicles, shared mobility and new transportation methods and to exclude companies which are Environmental, Social and Governance (“ESG”) laggards relative to the theme universe.</w:t>
      </w:r>
    </w:p>
    <w:p w:rsidR="00B227D6" w:rsidP="003A5B9D" w14:paraId="2285BA1E" w14:textId="72D7D9B7">
      <w:pPr>
        <w:jc w:val="both"/>
        <w:rPr>
          <w:lang w:val="en-US"/>
        </w:rPr>
      </w:pPr>
      <w:r w:rsidRPr="00C2259E">
        <w:rPr>
          <w:lang w:val="en-US"/>
        </w:rPr>
        <w:t>This is a passively managed ETF. Its investment strategy is to replicate the Index while minimizing the related tracking error.</w:t>
        <w:cr/>
        <w:t>
The Index is constructed by selecting stocks from the MSCI ACWI Investable Market Index (IMI) (the ‘Parent Index’). It selects companies which are assessed to have high exposure to business activities such as:
• Electro-chemical energy storage technologies;
• Mining companies that produce metals used to manufacture batteries;
• Autonomous vehicles and related technologies;
• Electric vehicles (“EVs”), and EV components and materials;
• New transportation methods, passenger and freight, including electric vehicles, autonomous vehicle;
• Shared mobility (Sharing Economy).
The Index is an equity index calculated and published by the international index provider MSCI. The Index features the following characteristics:
a) Same investment universe as the MSCI ACWI Investable Market Index (IMI) (the “Parent Index”); i.e. including large, mid and small cap stocks across developed and emerging countries.
b) A set of relevant words and phrases derived from the above business activities is used to identify companies (the "Eligible Universe") engaged in the production of electric and autonomous vehicles or their components, battery technologies and battery metals, and sharing economy including ridesharing and micro mobility.
c) Companies from the Eligible Universe with a "Relevance Score" (as defined by MSCI) above 25% constitute the "Selected Universe".
d) Further liquidity/size/country/sectorial filters are applied to the Selected Universe.
e) An ESG negative screening is performed on the Selected Universe as defined in the methodology in order to exclude:
- Companies with exposure to controversial businesses such as controversial weapons, conventional weapons, tobacco, thermal coal, civilian firearms, oil sands, nuclear weapons or companies in violation of UN Global Compact; and
- Companies with no “ESG Rating” (as defined by MSCI).
f) A Filtered Universe is constructed using a “Best-in-class” approach (the “Filtered Universe”): bottom quartile companies by an industry-adjusted ESG Rating (as defined by MSCI) are excluded from the filtered Selected Universe. “Best-in-class” approach is an approach where leading or best-performing investments are selected within a universe, industry sector or class. MSCI ESG Rating methodology uses a rules-based methodology designed to measure a company’s resilience to longterm, industry material ESG risks. It is based on extra-financial ESG key issues that focus on the intersection between a company’s core business and the industry-specific issues that may create significant risks and opportunities for the company. The ESG key issues are weighted according to impact and time horizon of the risk or opportunity. The ESG key issues include for instance, but are not limited to, water stress, carbon emissions, labor management or business ethics. Using such Best-in-class approach, the Sub-Fund follows an extra-financial approach significantly engaging that permits the reduction by at least 20% of the initial investment universe (expressed in number of issuers). Limits of the extra-financial approach are mentioned in the section “Principal risks” of the prospectus. The extra-financial data coverage is 100% of the eligible securities of the Parent Index. Non ESG rated companies are excluded from the selection process of the Index.
g) The top half in terms of Relevance Score of the Filtered Universe constitutes the Index composition.
h) The Index is weighted in proportion of an aggregate score combining the normalized value of three fundamental criteria: the percentage of sales spent on R&amp;D and capex, return on invested capital and one year sales growth.
i) An iterative downweighing ensure that the carbon intensity and the weighted average of board independence of the Index are respectively lower and higher than the ones of the MSCI ACWI IMI Future Mobility Index.
For further information in relation to the general and specific environmental, social and governance (ESG) objectives targeted by the Sub-Fund, please refer to the Transparency Code of the Sub-Fund available on https://www.amundietf.com/. Environmental and/or social characteristics promoted by the Sub-Fund are met through the MSCI ESG Rating methodology (as described above).
The Product strategy is also relying on systematic exclusions policies (normative and sectorials)  as further described in Amundi Responsible Investment policy.</w:t>
      </w:r>
    </w:p>
    <w:p w:rsidR="00F03360" w:rsidRPr="00C2259E" w:rsidP="003A5B9D" w14:paraId="5DC83A1D" w14:textId="77777777">
      <w:pPr>
        <w:jc w:val="both"/>
        <w:rPr>
          <w:lang w:val="en-US"/>
        </w:rPr>
      </w:pPr>
    </w:p>
    <w:p w:rsidR="00F03360" w:rsidRPr="00F03360" w:rsidP="00F03360" w14:paraId="56D7B633" w14:textId="353CA6CD">
      <w:pPr>
        <w:jc w:val="both"/>
        <w:rPr>
          <w:lang w:val="en-US"/>
        </w:rPr>
      </w:pPr>
      <w:r w:rsidRPr="00F03360">
        <w:rPr>
          <w:lang w:val="en-US"/>
        </w:rPr>
        <w:t xml:space="preserve">To assess good governance practices of the investee companies, we rely on </w:t>
      </w:r>
      <w:r w:rsidRPr="00F03360">
        <w:rPr>
          <w:lang w:val="en-US"/>
        </w:rPr>
        <w:t>Amundi</w:t>
      </w:r>
      <w:r w:rsidRPr="00F03360">
        <w:rPr>
          <w:lang w:val="en-US"/>
        </w:rPr>
        <w:t xml:space="preserve"> ESG scoring methodology.  </w:t>
      </w:r>
      <w:r w:rsidRPr="00F03360">
        <w:rPr>
          <w:lang w:val="en-US"/>
        </w:rPr>
        <w:t>Amundi’s</w:t>
      </w:r>
      <w:r w:rsidRPr="00F03360">
        <w:rPr>
          <w:lang w:val="en-US"/>
        </w:rPr>
        <w:t xml:space="preserve">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w:t>
      </w:r>
      <w:r w:rsidRPr="00F03360">
        <w:rPr>
          <w:lang w:val="en-US"/>
        </w:rPr>
        <w:t>Amundi</w:t>
      </w:r>
      <w:r w:rsidRPr="00F03360">
        <w:rPr>
          <w:lang w:val="en-US"/>
        </w:rPr>
        <w:t xml:space="preserve"> ESG Rating scale contains seven grades, ranging from A to G, where A is the best and G the worst rating. G-rated companies are excluded from our investment universe.</w:t>
      </w:r>
    </w:p>
    <w:p w:rsidR="00F03360" w:rsidRPr="00F03360" w:rsidP="00F03360" w14:paraId="36D73581" w14:textId="083CB01E">
      <w:pPr>
        <w:jc w:val="both"/>
        <w:rPr>
          <w:lang w:val="en-US"/>
        </w:rPr>
      </w:pPr>
      <w:r w:rsidRPr="00F03360">
        <w:rPr>
          <w:lang w:val="en-US"/>
        </w:rPr>
        <w:t xml:space="preserve">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w:t>
      </w:r>
      <w:r w:rsidRPr="00F03360">
        <w:rPr>
          <w:lang w:val="en-US"/>
        </w:rPr>
        <w:t>Amundi’s</w:t>
      </w:r>
      <w:r w:rsidRPr="00F03360">
        <w:rPr>
          <w:lang w:val="en-US"/>
        </w:rPr>
        <w:t xml:space="preserve"> ESG ratings Committee monthly reviews lists </w:t>
      </w:r>
      <w:r w:rsidRPr="00F03360">
        <w:rPr>
          <w:lang w:val="en-US"/>
        </w:rPr>
        <w:t>of companies in breach of the UN GC leading to rating downgrades to G. Divestment from securities downgraded to G is carried out by default within 90 days.</w:t>
      </w:r>
    </w:p>
    <w:p w:rsidR="003A5B9D" w:rsidRPr="00C2259E" w:rsidP="00F03360" w14:paraId="50B13BBB" w14:textId="792C5819">
      <w:pPr>
        <w:jc w:val="both"/>
        <w:rPr>
          <w:lang w:val="en-US"/>
        </w:rPr>
      </w:pPr>
      <w:r w:rsidRPr="00F03360">
        <w:rPr>
          <w:lang w:val="en-US"/>
        </w:rPr>
        <w:t>Amundi</w:t>
      </w:r>
      <w:r w:rsidRPr="00F03360">
        <w:rPr>
          <w:lang w:val="en-US"/>
        </w:rPr>
        <w:t xml:space="preserve"> Stewardship Policy (engagement and voting) related to governance complements this approach.</w:t>
      </w: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r w:rsidRPr="00C2259E" w:rsidR="003A5B9D">
        <w:rPr>
          <w:lang w:val="en-US"/>
        </w:rPr>
        <w:t>At least 90% of the Sub-Fund's securities and instruments will meet the promoted environmental or social characteristics in accordance with the binding elements of the Index methodology.
Furthermore, the Sub-Fund commits to have a minimum of 20 % of sustainable investments as per the below chart. Investments aligned with other E/S characteristics (#1B) will represent the difference between the actual proportion of investments aligned with environmental or social characteristics (#1) and the actual proportion of sustainable investments (#1A).
The planned proportion of other environmental investment represents a minimum of 20 % (i) and may change as the actual proportions of Taxonomy-aligned and/or Social investments increase.</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F03360" w:rsidRPr="00F03360" w:rsidP="00F03360" w14:paraId="036F8894" w14:textId="285E96E2">
      <w:pPr>
        <w:jc w:val="both"/>
        <w:rPr>
          <w:lang w:val="en-US"/>
        </w:rPr>
      </w:pPr>
      <w:r w:rsidRPr="00F03360">
        <w:rPr>
          <w:lang w:val="en-US"/>
        </w:rPr>
        <w:t xml:space="preserve">All ESG data, either externally or internally processed, is </w:t>
      </w:r>
      <w:r w:rsidRPr="00F03360">
        <w:rPr>
          <w:lang w:val="en-US"/>
        </w:rPr>
        <w:t>centralised</w:t>
      </w:r>
      <w:r w:rsidRPr="00F03360">
        <w:rPr>
          <w:lang w:val="en-US"/>
        </w:rPr>
        <w:t xml:space="preserve">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w:t>
      </w:r>
      <w:r w:rsidRPr="00F03360">
        <w:rPr>
          <w:lang w:val="en-US"/>
        </w:rPr>
        <w:t>Amundi's</w:t>
      </w:r>
      <w:r w:rsidRPr="00F03360">
        <w:rPr>
          <w:lang w:val="en-US"/>
        </w:rPr>
        <w:t xml:space="preserve"> proprietary tool Stock Rating Integrator (SRI) module.</w:t>
      </w:r>
    </w:p>
    <w:p w:rsidR="00F03360" w:rsidRPr="00F03360" w:rsidP="00F03360" w14:paraId="68D74904" w14:textId="77777777">
      <w:pPr>
        <w:jc w:val="both"/>
        <w:rPr>
          <w:lang w:val="en-US"/>
        </w:rPr>
      </w:pPr>
      <w:r w:rsidRPr="00F03360">
        <w:rPr>
          <w:lang w:val="en-US"/>
        </w:rPr>
        <w:t xml:space="preserve">Sustainability indicators used within </w:t>
      </w:r>
      <w:r w:rsidRPr="00F03360">
        <w:rPr>
          <w:lang w:val="en-US"/>
        </w:rPr>
        <w:t>Amundi</w:t>
      </w:r>
      <w:r w:rsidRPr="00F03360">
        <w:rPr>
          <w:lang w:val="en-US"/>
        </w:rPr>
        <w:t xml:space="preserve"> rely on proprietary methodologies. These indicators are continuously made available in the portfolio management system allowing the portfolio managers to assess the impact of their investment decisions.</w:t>
      </w:r>
    </w:p>
    <w:p w:rsidR="003A5B9D" w:rsidRPr="00C2259E" w:rsidP="00F03360" w14:paraId="1B2ABE81" w14:textId="26190196">
      <w:pPr>
        <w:jc w:val="both"/>
        <w:rPr>
          <w:lang w:val="en-US"/>
        </w:rPr>
      </w:pPr>
      <w:r w:rsidRPr="00F03360">
        <w:rPr>
          <w:lang w:val="en-US"/>
        </w:rPr>
        <w:t xml:space="preserve">Moreover, these indicators are embedded within </w:t>
      </w:r>
      <w:r w:rsidRPr="00F03360">
        <w:rPr>
          <w:lang w:val="en-US"/>
        </w:rPr>
        <w:t>Amundi’s</w:t>
      </w:r>
      <w:r w:rsidRPr="00F03360">
        <w:rPr>
          <w:lang w:val="en-US"/>
        </w:rPr>
        <w:t xml:space="preserve">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E93383" w:rsidP="00F03360" w14:paraId="0315E896" w14:textId="77777777">
      <w:pPr>
        <w:jc w:val="both"/>
        <w:rPr>
          <w:lang w:val="en-US"/>
        </w:rPr>
      </w:pPr>
      <w:r w:rsidRPr="00F03360">
        <w:rPr>
          <w:lang w:val="en-US"/>
        </w:rPr>
        <w:t xml:space="preserve">The </w:t>
      </w:r>
      <w:r w:rsidRPr="00F03360">
        <w:rPr>
          <w:lang w:val="en-US"/>
        </w:rPr>
        <w:t>Amundi</w:t>
      </w:r>
      <w:r w:rsidRPr="00F03360">
        <w:rPr>
          <w:lang w:val="en-US"/>
        </w:rPr>
        <w:t xml:space="preserve"> ESG rating used to determine the ESG score is an ESG quantitative score translated into seven grades, ranging from A (the best scores universe) to G (the worst). In the </w:t>
      </w:r>
      <w:r w:rsidRPr="00F03360">
        <w:rPr>
          <w:lang w:val="en-US"/>
        </w:rPr>
        <w:t>Amundi</w:t>
      </w:r>
      <w:r w:rsidRPr="00F03360">
        <w:rPr>
          <w:lang w:val="en-US"/>
        </w:rPr>
        <w:t xml:space="preserve">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rsidR="00F03360" w:rsidRPr="00E93383" w:rsidP="00E93383" w14:paraId="4BCE88B5" w14:textId="265A0F27">
      <w:pPr>
        <w:pStyle w:val="ListParagraph"/>
        <w:numPr>
          <w:ilvl w:val="0"/>
          <w:numId w:val="5"/>
        </w:numPr>
        <w:spacing w:after="0" w:line="240" w:lineRule="auto"/>
        <w:jc w:val="both"/>
        <w:rPr>
          <w:rFonts w:cstheme="minorHAnsi"/>
          <w:iCs/>
          <w:lang w:val="en-IE"/>
        </w:rPr>
      </w:pPr>
      <w:r w:rsidRPr="00E93383">
        <w:rPr>
          <w:rFonts w:cstheme="minorHAnsi"/>
          <w:b/>
          <w:bCs/>
          <w:iCs/>
          <w:lang w:val="en-IE"/>
        </w:rPr>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rsidR="00F03360" w:rsidRPr="00E93383" w:rsidP="00E93383" w14:paraId="01161A1C" w14:textId="6804151F">
      <w:pPr>
        <w:pStyle w:val="ListParagraph"/>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rsidR="00F03360" w:rsidRPr="00E93383" w:rsidP="00E93383" w14:paraId="05B35762" w14:textId="789F19B9">
      <w:pPr>
        <w:pStyle w:val="ListParagraph"/>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rsidR="00E93383" w:rsidRPr="00E93383" w:rsidP="00E93383" w14:paraId="0AAAD8FA" w14:textId="77777777">
      <w:pPr>
        <w:pStyle w:val="ListParagraph"/>
        <w:spacing w:after="0" w:line="240" w:lineRule="auto"/>
        <w:jc w:val="both"/>
        <w:rPr>
          <w:rFonts w:cstheme="minorHAnsi"/>
          <w:i/>
          <w:lang w:val="en-IE"/>
        </w:rPr>
      </w:pPr>
    </w:p>
    <w:p w:rsidR="00432E0E" w:rsidRPr="00C2259E" w:rsidP="00F03360" w14:paraId="65418A25" w14:textId="4C2C0B6A">
      <w:pPr>
        <w:jc w:val="both"/>
        <w:rPr>
          <w:lang w:val="en-US"/>
        </w:rPr>
      </w:pPr>
      <w:r w:rsidRPr="00F03360">
        <w:rPr>
          <w:lang w:val="en-US"/>
        </w:rPr>
        <w:t xml:space="preserve">The methodology applied by </w:t>
      </w:r>
      <w:r w:rsidRPr="00F03360">
        <w:rPr>
          <w:lang w:val="en-US"/>
        </w:rPr>
        <w:t>Amundi</w:t>
      </w:r>
      <w:r w:rsidRPr="00F03360">
        <w:rPr>
          <w:lang w:val="en-US"/>
        </w:rPr>
        <w:t xml:space="preserve">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w:t>
      </w:r>
      <w:r w:rsidRPr="00F03360">
        <w:rPr>
          <w:lang w:val="en-US"/>
        </w:rPr>
        <w:t>Amundi</w:t>
      </w:r>
      <w:r w:rsidRPr="00F03360">
        <w:rPr>
          <w:lang w:val="en-US"/>
        </w:rPr>
        <w:t xml:space="preserve"> ESG ratings are likely to be expressed globally on the three E, S and G dimensions or individually on any environmental or social factor.</w:t>
      </w: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F03360" w:rsidP="003A5B9D" w14:paraId="639E9134" w14:textId="77777777">
      <w:pPr>
        <w:jc w:val="both"/>
        <w:rPr>
          <w:lang w:val="en-US"/>
        </w:rPr>
      </w:pPr>
      <w:r w:rsidRPr="00F03360">
        <w:rPr>
          <w:lang w:val="en-US"/>
        </w:rPr>
        <w:t>Amundi's</w:t>
      </w:r>
      <w:r w:rsidRPr="00F03360">
        <w:rPr>
          <w:lang w:val="en-US"/>
        </w:rPr>
        <w:t xml:space="preserve"> ESG scores are built using </w:t>
      </w:r>
      <w:r w:rsidRPr="00F03360">
        <w:rPr>
          <w:lang w:val="en-US"/>
        </w:rPr>
        <w:t>Amundi's</w:t>
      </w:r>
      <w:r w:rsidRPr="00F03360">
        <w:rPr>
          <w:lang w:val="en-US"/>
        </w:rPr>
        <w:t xml:space="preserve"> ESG analysis framework and scoring methodology. We source data from the following sources for ESG scores:  Moody, ISS-</w:t>
      </w:r>
      <w:r w:rsidRPr="00F03360">
        <w:rPr>
          <w:lang w:val="en-US"/>
        </w:rPr>
        <w:t>Oekem</w:t>
      </w:r>
      <w:r w:rsidRPr="00F03360">
        <w:rPr>
          <w:lang w:val="en-US"/>
        </w:rPr>
        <w:t xml:space="preserve">, MSCI, and </w:t>
      </w:r>
      <w:r w:rsidRPr="00F03360">
        <w:rPr>
          <w:lang w:val="en-US"/>
        </w:rPr>
        <w:t>Sustainalytics</w:t>
      </w:r>
      <w:r w:rsidRPr="00F03360">
        <w:rPr>
          <w:lang w:val="en-US"/>
        </w:rPr>
        <w:t xml:space="preserve">. </w:t>
      </w:r>
    </w:p>
    <w:p w:rsidR="00F03360" w:rsidP="00F03360" w14:paraId="1D22CD65" w14:textId="77777777">
      <w:pPr>
        <w:jc w:val="both"/>
        <w:rPr>
          <w:rFonts w:cstheme="minorHAnsi"/>
          <w:lang w:val="en-US"/>
        </w:rPr>
      </w:pPr>
    </w:p>
    <w:p w:rsidR="00F03360" w:rsidRPr="00F03360" w:rsidP="00F03360" w14:paraId="7D92564E" w14:textId="068E536A">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F03360" w:rsidP="00F03360" w14:paraId="366A7BE4" w14:textId="77777777">
      <w:pPr>
        <w:jc w:val="both"/>
        <w:rPr>
          <w:rFonts w:cstheme="minorHAnsi"/>
          <w:lang w:val="en-US"/>
        </w:rPr>
      </w:pPr>
    </w:p>
    <w:p w:rsidR="00F03360" w:rsidRPr="00F03360" w:rsidP="00F03360" w14:paraId="381136F6" w14:textId="22F89B4C">
      <w:pPr>
        <w:jc w:val="both"/>
        <w:rPr>
          <w:rFonts w:cstheme="minorHAnsi"/>
          <w:lang w:val="en-US"/>
        </w:rPr>
      </w:pPr>
      <w:r w:rsidRPr="00F03360">
        <w:rPr>
          <w:rFonts w:cstheme="minorHAnsi"/>
          <w:lang w:val="en-US"/>
        </w:rPr>
        <w:t>External data are collected and controlled by the Global Data Management team and are plugged into the SRI module.</w:t>
      </w:r>
    </w:p>
    <w:p w:rsidR="00F03360" w:rsidRPr="00F03360" w:rsidP="00F03360" w14:paraId="07765E6D" w14:textId="77777777">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w:t>
      </w:r>
      <w:r w:rsidRPr="00F03360">
        <w:rPr>
          <w:rFonts w:cstheme="minorHAnsi"/>
          <w:lang w:val="en-US"/>
        </w:rPr>
        <w:t>Amundi</w:t>
      </w:r>
      <w:r w:rsidRPr="00F03360">
        <w:rPr>
          <w:rFonts w:cstheme="minorHAnsi"/>
          <w:lang w:val="en-US"/>
        </w:rPr>
        <w:t xml:space="preserve"> proprietary methodology. The ESG ratings in particular are displayed in the SRI module to portfolio managers, risk, reporting and the ESG teams in a transparent and user-friendly manner (issuer’s ESG rating together with the criteria and the weights of each criterion). </w:t>
      </w:r>
    </w:p>
    <w:p w:rsidR="00F03360" w:rsidRPr="00F03360" w:rsidP="00F03360" w14:paraId="63113404" w14:textId="77777777">
      <w:pPr>
        <w:jc w:val="both"/>
        <w:rPr>
          <w:rFonts w:cstheme="minorHAnsi"/>
          <w:lang w:val="en-US"/>
        </w:rPr>
      </w:pPr>
      <w:r w:rsidRPr="00F03360">
        <w:rPr>
          <w:rFonts w:cstheme="minorHAnsi"/>
          <w:lang w:val="en-US"/>
        </w:rPr>
        <w:t xml:space="preserve">For ESG ratings, at each stage of the calculation process, the scores are </w:t>
      </w:r>
      <w:r w:rsidRPr="00F03360">
        <w:rPr>
          <w:rFonts w:cstheme="minorHAnsi"/>
          <w:lang w:val="en-US"/>
        </w:rPr>
        <w:t>normalised</w:t>
      </w:r>
      <w:r w:rsidRPr="00F03360">
        <w:rPr>
          <w:rFonts w:cstheme="minorHAnsi"/>
          <w:lang w:val="en-US"/>
        </w:rPr>
        <w:t xml:space="preserve">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r>
    </w:p>
    <w:p w:rsidR="00F03360" w:rsidRPr="00F03360" w:rsidP="00F03360" w14:paraId="2605750A" w14:textId="77777777">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rsidR="00F03360" w:rsidRPr="00F03360" w:rsidP="003A5B9D" w14:paraId="2F1DBD6C" w14:textId="77777777">
      <w:pPr>
        <w:jc w:val="both"/>
        <w:rPr>
          <w:lang w:val="en-US"/>
        </w:rPr>
      </w:pPr>
    </w:p>
    <w:p w:rsidR="00F03360" w:rsidRPr="00F03360" w:rsidP="00F03360" w14:paraId="0F315055" w14:textId="77777777">
      <w:pPr>
        <w:jc w:val="both"/>
        <w:rPr>
          <w:rFonts w:cstheme="minorHAnsi"/>
          <w:lang w:val="en-US"/>
        </w:rPr>
      </w:pPr>
      <w:r w:rsidRPr="00F03360">
        <w:rPr>
          <w:rFonts w:cstheme="minorHAnsi"/>
          <w:lang w:val="en-US"/>
        </w:rPr>
        <w:t xml:space="preserve">ESG scores utilize data derived from external data providers, internal ESG assessment/research conducted by </w:t>
      </w:r>
      <w:r w:rsidRPr="00F03360">
        <w:rPr>
          <w:rFonts w:cstheme="minorHAnsi"/>
          <w:lang w:val="en-US"/>
        </w:rPr>
        <w:t>Amundi</w:t>
      </w:r>
      <w:r w:rsidRPr="00F03360">
        <w:rPr>
          <w:rFonts w:cstheme="minorHAnsi"/>
          <w:lang w:val="en-US"/>
        </w:rPr>
        <w:t xml:space="preserve">, or through a regulated third party </w:t>
      </w:r>
      <w:r w:rsidRPr="00F03360">
        <w:rPr>
          <w:rFonts w:cstheme="minorHAnsi"/>
          <w:lang w:val="en-US"/>
        </w:rPr>
        <w:t>recognised</w:t>
      </w:r>
      <w:r w:rsidRPr="00F03360">
        <w:rPr>
          <w:rFonts w:cstheme="minorHAnsi"/>
          <w:lang w:val="en-US"/>
        </w:rPr>
        <w:t xml:space="preserve"> for the provision of professional ESG scoring and assessment. Without mandatory ESG reporting at company level, estimations are a core component of data providers' methodology.</w:t>
      </w:r>
    </w:p>
    <w:p w:rsidR="00E72F77" w:rsidRPr="00F03360" w:rsidP="003A5B9D" w14:paraId="0D3A09BD" w14:textId="39889308">
      <w:pPr>
        <w:jc w:val="both"/>
        <w:rPr>
          <w:lang w:val="en-US"/>
        </w:rPr>
      </w:pPr>
    </w:p>
    <w:p w:rsidR="002571B9" w:rsidRPr="00F03360" w:rsidP="003A5B9D" w14:paraId="477D6057" w14:textId="77777777">
      <w:pPr>
        <w:jc w:val="both"/>
        <w:rPr>
          <w:lang w:val="en-US"/>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F03360" w:rsidP="00F03360" w14:paraId="69330D15" w14:textId="3CE71274">
      <w:pPr>
        <w:jc w:val="both"/>
        <w:rPr>
          <w:rFonts w:cstheme="minorHAnsi"/>
          <w:lang w:val="en-US"/>
        </w:rPr>
      </w:pPr>
      <w:r w:rsidRPr="00F03360">
        <w:rPr>
          <w:rFonts w:cstheme="minorHAnsi"/>
          <w:lang w:val="en-US"/>
        </w:rPr>
        <w:t xml:space="preserve">Our methodology limitations are by construction linked to use of ESG data. The ESG data landscape is currently being </w:t>
      </w:r>
      <w:r w:rsidRPr="00F03360">
        <w:rPr>
          <w:rFonts w:cstheme="minorHAnsi"/>
          <w:lang w:val="en-US"/>
        </w:rPr>
        <w:t>standardised</w:t>
      </w:r>
      <w:r w:rsidRPr="00F03360">
        <w:rPr>
          <w:rFonts w:cstheme="minorHAnsi"/>
          <w:lang w:val="en-US"/>
        </w:rPr>
        <w:t xml:space="preserve"> which can impact data quality; data coverage also is a limitation. Current and future regulation will improve standardized reporting and corporate disclosures on which ESG data rely.</w:t>
      </w:r>
    </w:p>
    <w:p w:rsidR="00F03360" w:rsidRPr="00F03360" w:rsidP="00F03360" w14:paraId="07BBB606" w14:textId="77777777">
      <w:pPr>
        <w:jc w:val="both"/>
        <w:rPr>
          <w:rFonts w:cstheme="minorHAnsi"/>
          <w:lang w:val="en-US"/>
        </w:rPr>
      </w:pPr>
    </w:p>
    <w:p w:rsidR="00F03360" w:rsidRPr="00F03360" w:rsidP="00F03360" w14:paraId="2468BE76" w14:textId="77777777">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F03360" w:rsidP="003A5B9D" w14:paraId="79407EEA" w14:textId="2FE5B98E">
      <w:pPr>
        <w:jc w:val="both"/>
        <w:rPr>
          <w:lang w:val="en-US"/>
        </w:rPr>
      </w:pPr>
    </w:p>
    <w:p w:rsidR="002571B9" w:rsidRPr="00F03360" w:rsidP="003A5B9D" w14:paraId="1B0C4F29" w14:textId="77777777">
      <w:pPr>
        <w:jc w:val="both"/>
        <w:rPr>
          <w:lang w:val="en-US"/>
        </w:rPr>
      </w:pPr>
    </w:p>
    <w:p w:rsidR="001478C5" w:rsidRPr="00E93383" w:rsidP="00C2259E" w14:paraId="72B0FC1D" w14:textId="424591D0">
      <w:pPr>
        <w:pStyle w:val="Heading2"/>
        <w:jc w:val="both"/>
        <w:rPr>
          <w:b/>
          <w:color w:val="auto"/>
          <w:lang w:val="en-US"/>
        </w:rPr>
      </w:pPr>
      <w:r w:rsidRPr="00E93383">
        <w:rPr>
          <w:b/>
          <w:color w:val="auto"/>
          <w:lang w:val="en-US"/>
        </w:rPr>
        <w:t>Due diligence</w:t>
      </w:r>
    </w:p>
    <w:p w:rsidR="002571B9" w:rsidRPr="00E93383" w:rsidP="001478C5" w14:paraId="01F7C211" w14:textId="77777777">
      <w:pPr>
        <w:jc w:val="both"/>
        <w:rPr>
          <w:lang w:val="en-US"/>
        </w:rPr>
      </w:pPr>
    </w:p>
    <w:p w:rsidR="00F03360" w:rsidRPr="00F03360" w:rsidP="00F03360" w14:paraId="62E67650" w14:textId="77777777">
      <w:pPr>
        <w:jc w:val="both"/>
        <w:rPr>
          <w:rFonts w:cstheme="minorHAnsi"/>
          <w:lang w:val="en-US"/>
        </w:rPr>
      </w:pPr>
      <w:r w:rsidRPr="00F03360">
        <w:rPr>
          <w:rFonts w:cstheme="minorHAnsi"/>
          <w:lang w:val="en-US"/>
        </w:rPr>
        <w:t xml:space="preserve">Each month, the ESG scores are recalculated according </w:t>
      </w:r>
      <w:r w:rsidRPr="00F03360">
        <w:rPr>
          <w:rFonts w:cstheme="minorHAnsi"/>
          <w:lang w:val="en-US"/>
        </w:rPr>
        <w:t>Amundi</w:t>
      </w:r>
      <w:r w:rsidRPr="00F03360">
        <w:rPr>
          <w:rFonts w:cstheme="minorHAnsi"/>
          <w:lang w:val="en-US"/>
        </w:rPr>
        <w:t xml:space="preserve">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w:t>
      </w:r>
      <w:r w:rsidRPr="00F03360">
        <w:rPr>
          <w:rFonts w:cstheme="minorHAnsi"/>
          <w:lang w:val="en-US"/>
        </w:rPr>
        <w:t>Amundi</w:t>
      </w:r>
      <w:r w:rsidRPr="00F03360">
        <w:rPr>
          <w:rFonts w:cstheme="minorHAnsi"/>
          <w:lang w:val="en-US"/>
        </w:rPr>
        <w:t xml:space="preserve"> database </w:t>
      </w:r>
      <w:r w:rsidRPr="00F03360">
        <w:rPr>
          <w:rFonts w:cstheme="minorHAnsi"/>
          <w:lang w:val="en-US"/>
        </w:rPr>
        <w:t>iPortal</w:t>
      </w:r>
      <w:r w:rsidRPr="00F03360">
        <w:rPr>
          <w:rFonts w:cstheme="minorHAnsi"/>
          <w:lang w:val="en-US"/>
        </w:rPr>
        <w:t>. This can also be subject to a validation of the ESG Rating Committee.</w:t>
      </w:r>
    </w:p>
    <w:p w:rsidR="00F03360" w:rsidRPr="00F03360" w:rsidP="00F03360" w14:paraId="3E55BC05" w14:textId="77777777">
      <w:pPr>
        <w:jc w:val="both"/>
        <w:rPr>
          <w:rFonts w:cstheme="minorHAnsi"/>
          <w:lang w:val="en-US"/>
        </w:rPr>
      </w:pPr>
      <w:r w:rsidRPr="00F03360">
        <w:rPr>
          <w:rFonts w:cstheme="minorHAnsi"/>
          <w:lang w:val="en-US"/>
        </w:rPr>
        <w:t xml:space="preserve">The investment management team is responsible for defining the investment process of the product, including the design of the appropriate risk framework in collaboration with the investment risk teams. In this context, </w:t>
      </w:r>
      <w:r w:rsidRPr="00F03360">
        <w:rPr>
          <w:rFonts w:cstheme="minorHAnsi"/>
          <w:lang w:val="en-US"/>
        </w:rPr>
        <w:t>Amundi</w:t>
      </w:r>
      <w:r w:rsidRPr="00F03360">
        <w:rPr>
          <w:rFonts w:cstheme="minorHAnsi"/>
          <w:lang w:val="en-US"/>
        </w:rPr>
        <w:t xml:space="preserve">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F03360" w:rsidP="001478C5" w14:paraId="4F222CCF" w14:textId="18DCB010">
      <w:pPr>
        <w:jc w:val="both"/>
        <w:rPr>
          <w:lang w:val="en-US"/>
        </w:rPr>
      </w:pPr>
    </w:p>
    <w:p w:rsidR="002571B9" w:rsidRPr="00F03360" w:rsidP="001478C5" w14:paraId="655B1DE5" w14:textId="77777777">
      <w:pPr>
        <w:jc w:val="both"/>
        <w:rPr>
          <w:lang w:val="en-US"/>
        </w:rPr>
      </w:pPr>
    </w:p>
    <w:p w:rsidR="001478C5" w:rsidRPr="00E93383" w:rsidP="00C2259E" w14:paraId="257F6900" w14:textId="2ABBAECF">
      <w:pPr>
        <w:pStyle w:val="Heading2"/>
        <w:jc w:val="both"/>
        <w:rPr>
          <w:b/>
          <w:color w:val="auto"/>
          <w:lang w:val="en-US"/>
        </w:rPr>
      </w:pPr>
      <w:r w:rsidRPr="00E93383">
        <w:rPr>
          <w:b/>
          <w:color w:val="auto"/>
          <w:lang w:val="en-US"/>
        </w:rPr>
        <w:t>Engagement policies</w:t>
      </w:r>
    </w:p>
    <w:p w:rsidR="00E77637" w:rsidRPr="00E93383" w:rsidP="001478C5" w14:paraId="7D2DFAA9" w14:textId="77777777">
      <w:pPr>
        <w:jc w:val="both"/>
        <w:rPr>
          <w:rFonts w:asciiTheme="majorHAnsi" w:eastAsiaTheme="majorEastAsia" w:hAnsiTheme="majorHAnsi" w:cstheme="majorBidi"/>
          <w:bCs/>
          <w:lang w:val="en-US"/>
        </w:rPr>
      </w:pPr>
    </w:p>
    <w:p w:rsidR="00F03360" w:rsidRPr="00F03360" w:rsidP="00F03360" w14:paraId="61006FBC" w14:textId="77777777">
      <w:pPr>
        <w:jc w:val="both"/>
        <w:rPr>
          <w:rFonts w:cstheme="minorHAnsi"/>
          <w:lang w:val="en-US"/>
        </w:rPr>
      </w:pPr>
      <w:r w:rsidRPr="00F03360">
        <w:rPr>
          <w:rFonts w:cstheme="minorHAnsi"/>
          <w:lang w:val="en-US"/>
        </w:rPr>
        <w:t>Amundi</w:t>
      </w:r>
      <w:r w:rsidRPr="00F03360">
        <w:rPr>
          <w:rFonts w:cstheme="minorHAnsi"/>
          <w:lang w:val="en-US"/>
        </w:rPr>
        <w:t xml:space="preserve">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F03360" w:rsidP="001478C5" w14:paraId="1575B232" w14:textId="7396C0FD">
      <w:pPr>
        <w:jc w:val="both"/>
        <w:rPr>
          <w:lang w:val="en-US"/>
        </w:rPr>
      </w:pPr>
    </w:p>
    <w:p w:rsidR="002571B9" w:rsidRPr="00F03360" w:rsidP="001478C5" w14:paraId="7976B234" w14:textId="77777777">
      <w:pPr>
        <w:jc w:val="both"/>
        <w:rPr>
          <w:lang w:val="en-US"/>
        </w:rPr>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720F2" w:rsidRPr="001720F2" w:rsidP="001720F2" w14:paraId="48211E4D" w14:textId="77777777">
      <w:pPr>
        <w:tabs>
          <w:tab w:val="num" w:pos="1560"/>
        </w:tabs>
        <w:spacing w:after="0"/>
        <w:jc w:val="both"/>
        <w:rPr>
          <w:rFonts w:ascii="Calibri" w:eastAsia="Calibri" w:hAnsi="Calibri" w:cs="Calibri"/>
          <w:b/>
          <w:bCs/>
          <w:color w:val="FF0000"/>
          <w:spacing w:val="-6"/>
          <w:position w:val="1"/>
          <w:szCs w:val="21"/>
          <w:lang w:val="en-GB"/>
        </w:rPr>
      </w:pPr>
    </w:p>
    <w:p w:rsidR="00921654" w:rsidP="00921654" w14:paraId="1E7F0BFF" w14:textId="5ADE133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rsidR="00921654" w:rsidP="00921654" w14:paraId="0AFBF315" w14:textId="77777777">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rsidR="00921654" w:rsidP="001478C5" w14:paraId="4E0BABF6" w14:textId="30D0E232">
      <w:pPr>
        <w:jc w:val="both"/>
        <w:rPr>
          <w:lang w:val="en-US"/>
        </w:rPr>
      </w:pPr>
    </w:p>
    <w:p w:rsidR="00921654" w:rsidP="001478C5" w14:paraId="58826C3C" w14:textId="7EA91E01">
      <w:pPr>
        <w:jc w:val="both"/>
        <w:rPr>
          <w:lang w:val="en-US"/>
        </w:rPr>
      </w:pPr>
    </w:p>
    <w:p w:rsidR="001720F2" w:rsidP="005804D7" w14:paraId="5C232E6F" w14:textId="3A2FF8D0">
      <w:pPr>
        <w:jc w:val="both"/>
        <w:rPr>
          <w:lang w:val="en-US"/>
        </w:rPr>
      </w:pPr>
      <w:r w:rsidRPr="00C2259E">
        <w:rPr>
          <w:lang w:val="en-US"/>
        </w:rPr>
        <w:t xml:space="preserve"> </w:t>
      </w:r>
    </w:p>
    <w:p w:rsidR="005804D7" w:rsidRPr="00C2259E" w:rsidP="00EF19FB" w14:paraId="6180AD29" w14:textId="2069C384">
      <w:pPr>
        <w:tabs>
          <w:tab w:val="num" w:pos="1560"/>
        </w:tabs>
        <w:spacing w:after="0"/>
        <w:jc w:val="both"/>
        <w:rPr>
          <w:lang w:val="en-US"/>
        </w:rPr>
      </w:pPr>
      <w:r w:rsidRPr="00C2259E">
        <w:rPr>
          <w:lang w:val="en-US"/>
        </w:rPr>
        <w:t>The Index aims to represent the performance of companies that are expected to derive significant revenues from energy storage technologies, autonomous vehicles, shared mobility and new transportation methods and to exclude companies which are Environmental, Social and Governance (“ESG”) laggards relative to the theme universe.</w:t>
      </w:r>
      <w:bookmarkStart w:id="1" w:name="_Hlk147852262"/>
      <w:bookmarkEnd w:id="1"/>
      <w:r w:rsidRPr="00EF19FB">
        <w:rPr>
          <w:rFonts w:cstheme="minorHAnsi"/>
          <w:b/>
          <w:bCs/>
          <w:color w:val="FF0000"/>
          <w:lang w:val="en-GB"/>
        </w:rPr>
        <w:t xml:space="preserve"> </w:t>
      </w:r>
      <w:r w:rsidRPr="00C2259E">
        <w:rPr>
          <w:lang w:val="en-US"/>
        </w:rPr>
        <w:t xml:space="preserve"> </w:t>
      </w:r>
    </w:p>
    <w:p w:rsidR="002571B9" w:rsidRPr="00C2259E" w:rsidP="005804D7" w14:paraId="50347151" w14:textId="4309F8A8">
      <w:pPr>
        <w:jc w:val="both"/>
        <w:rPr>
          <w:lang w:val="en-US"/>
        </w:rPr>
      </w:pPr>
      <w:r w:rsidRPr="00C2259E" w:rsidR="005804D7">
        <w:rPr>
          <w:lang w:val="en-US"/>
        </w:rPr>
        <w:t>Additional information on the Index can be found at : https://www.msci.com/</w:t>
      </w:r>
      <w:r w:rsidRPr="00F66EA8">
        <w:rPr>
          <w:rFonts w:cstheme="minorHAnsi"/>
          <w:b/>
          <w:bCs/>
          <w:color w:val="FF0000"/>
          <w:lang w:val="en-GB"/>
        </w:rPr>
        <w:t xml:space="preserve"> </w:t>
      </w: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D87045"/>
    <w:multiLevelType w:val="hybridMultilevel"/>
    <w:tmpl w:val="9D660154"/>
    <w:lvl w:ilvl="0">
      <w:start w:val="1"/>
      <w:numFmt w:val="bullet"/>
      <w:lvlText w:val=""/>
      <w:lvlJc w:val="left"/>
      <w:pPr>
        <w:tabs>
          <w:tab w:val="num" w:pos="927"/>
        </w:tabs>
        <w:ind w:left="927" w:hanging="360"/>
      </w:pPr>
      <w:rPr>
        <w:rFonts w:ascii="Symbol" w:hAnsi="Symbol" w:hint="default"/>
        <w:color w:val="BFBFBF" w:themeColor="background1" w:themeShade="BF"/>
        <w:sz w:val="44"/>
      </w:rPr>
    </w:lvl>
    <w:lvl w:ilvl="1">
      <w:start w:val="1"/>
      <w:numFmt w:val="bullet"/>
      <w:lvlText w:val=""/>
      <w:lvlJc w:val="left"/>
      <w:pPr>
        <w:tabs>
          <w:tab w:val="num" w:pos="360"/>
        </w:tabs>
        <w:ind w:left="360" w:hanging="360"/>
      </w:pPr>
      <w:rPr>
        <w:rFonts w:ascii="Symbol" w:hAnsi="Symbol" w:hint="default"/>
        <w:color w:val="BFBFBF" w:themeColor="background1" w:themeShade="BF"/>
        <w:sz w:val="44"/>
      </w:rPr>
    </w:lvl>
    <w:lvl w:ilvl="2">
      <w:start w:val="1"/>
      <w:numFmt w:val="bullet"/>
      <w:lvlText w:val=""/>
      <w:lvlJc w:val="left"/>
      <w:pPr>
        <w:tabs>
          <w:tab w:val="num" w:pos="2367"/>
        </w:tabs>
        <w:ind w:left="2367" w:hanging="360"/>
      </w:pPr>
      <w:rPr>
        <w:rFonts w:ascii="Symbol" w:hAnsi="Symbol" w:hint="default"/>
      </w:rPr>
    </w:lvl>
    <w:lvl w:ilvl="3">
      <w:start w:val="1"/>
      <w:numFmt w:val="bullet"/>
      <w:lvlText w:val=""/>
      <w:lvlJc w:val="left"/>
      <w:pPr>
        <w:ind w:left="785" w:hanging="360"/>
      </w:pPr>
      <w:rPr>
        <w:rFonts w:ascii="Symbol" w:hAnsi="Symbol" w:hint="default"/>
        <w:color w:val="0072A3"/>
        <w:w w:val="100"/>
        <w:sz w:val="19"/>
        <w:szCs w:val="19"/>
        <w:lang w:val="fr-FR" w:eastAsia="fr-FR" w:bidi="fr-FR"/>
      </w:rPr>
    </w:lvl>
    <w:lvl w:ilvl="4" w:tentative="1">
      <w:start w:val="1"/>
      <w:numFmt w:val="bullet"/>
      <w:lvlText w:val=""/>
      <w:lvlJc w:val="left"/>
      <w:pPr>
        <w:tabs>
          <w:tab w:val="num" w:pos="3807"/>
        </w:tabs>
        <w:ind w:left="3807" w:hanging="360"/>
      </w:pPr>
      <w:rPr>
        <w:rFonts w:ascii="Symbol" w:hAnsi="Symbol" w:hint="default"/>
      </w:rPr>
    </w:lvl>
    <w:lvl w:ilvl="5" w:tentative="1">
      <w:start w:val="1"/>
      <w:numFmt w:val="bullet"/>
      <w:lvlText w:val=""/>
      <w:lvlJc w:val="left"/>
      <w:pPr>
        <w:tabs>
          <w:tab w:val="num" w:pos="4527"/>
        </w:tabs>
        <w:ind w:left="4527" w:hanging="360"/>
      </w:pPr>
      <w:rPr>
        <w:rFonts w:ascii="Symbol" w:hAnsi="Symbol"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
      <w:lvlJc w:val="left"/>
      <w:pPr>
        <w:tabs>
          <w:tab w:val="num" w:pos="5967"/>
        </w:tabs>
        <w:ind w:left="5967" w:hanging="360"/>
      </w:pPr>
      <w:rPr>
        <w:rFonts w:ascii="Symbol" w:hAnsi="Symbol" w:hint="default"/>
      </w:rPr>
    </w:lvl>
    <w:lvl w:ilvl="8" w:tentative="1">
      <w:start w:val="1"/>
      <w:numFmt w:val="bullet"/>
      <w:lvlText w:val=""/>
      <w:lvlJc w:val="left"/>
      <w:pPr>
        <w:tabs>
          <w:tab w:val="num" w:pos="6687"/>
        </w:tabs>
        <w:ind w:left="6687" w:hanging="360"/>
      </w:pPr>
      <w:rPr>
        <w:rFonts w:ascii="Symbol" w:hAnsi="Symbol" w:hint="default"/>
      </w:rPr>
    </w:lvl>
  </w:abstractNum>
  <w:abstractNum w:abstractNumId="1">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2D6C79"/>
    <w:multiLevelType w:val="hybridMultilevel"/>
    <w:tmpl w:val="6C989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5C21C1F"/>
    <w:multiLevelType w:val="hybridMultilevel"/>
    <w:tmpl w:val="F964F4A4"/>
    <w:lvl w:ilvl="0">
      <w:start w:val="1"/>
      <w:numFmt w:val="bullet"/>
      <w:lvlText w:val=""/>
      <w:lvlJc w:val="left"/>
      <w:pPr>
        <w:tabs>
          <w:tab w:val="num" w:pos="927"/>
        </w:tabs>
        <w:ind w:left="927" w:hanging="360"/>
      </w:pPr>
      <w:rPr>
        <w:rFonts w:ascii="Symbol" w:hAnsi="Symbol" w:hint="default"/>
        <w:color w:val="BFBFBF" w:themeColor="background1" w:themeShade="BF"/>
        <w:sz w:val="44"/>
      </w:rPr>
    </w:lvl>
    <w:lvl w:ilvl="1">
      <w:start w:val="1"/>
      <w:numFmt w:val="bullet"/>
      <w:lvlText w:val=""/>
      <w:lvlJc w:val="left"/>
      <w:pPr>
        <w:tabs>
          <w:tab w:val="num" w:pos="360"/>
        </w:tabs>
        <w:ind w:left="360" w:hanging="360"/>
      </w:pPr>
      <w:rPr>
        <w:rFonts w:ascii="Symbol" w:hAnsi="Symbol" w:hint="default"/>
        <w:color w:val="BFBFBF" w:themeColor="background1" w:themeShade="BF"/>
        <w:sz w:val="44"/>
      </w:rPr>
    </w:lvl>
    <w:lvl w:ilvl="2">
      <w:start w:val="1"/>
      <w:numFmt w:val="bullet"/>
      <w:lvlText w:val=""/>
      <w:lvlJc w:val="left"/>
      <w:pPr>
        <w:tabs>
          <w:tab w:val="num" w:pos="2367"/>
        </w:tabs>
        <w:ind w:left="2367" w:hanging="360"/>
      </w:pPr>
      <w:rPr>
        <w:rFonts w:ascii="Symbol" w:hAnsi="Symbol" w:hint="default"/>
      </w:rPr>
    </w:lvl>
    <w:lvl w:ilvl="3">
      <w:start w:val="0"/>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entative="1">
      <w:start w:val="1"/>
      <w:numFmt w:val="bullet"/>
      <w:lvlText w:val=""/>
      <w:lvlJc w:val="left"/>
      <w:pPr>
        <w:tabs>
          <w:tab w:val="num" w:pos="3807"/>
        </w:tabs>
        <w:ind w:left="3807" w:hanging="360"/>
      </w:pPr>
      <w:rPr>
        <w:rFonts w:ascii="Symbol" w:hAnsi="Symbol" w:hint="default"/>
      </w:rPr>
    </w:lvl>
    <w:lvl w:ilvl="5" w:tentative="1">
      <w:start w:val="1"/>
      <w:numFmt w:val="bullet"/>
      <w:lvlText w:val=""/>
      <w:lvlJc w:val="left"/>
      <w:pPr>
        <w:tabs>
          <w:tab w:val="num" w:pos="4527"/>
        </w:tabs>
        <w:ind w:left="4527" w:hanging="360"/>
      </w:pPr>
      <w:rPr>
        <w:rFonts w:ascii="Symbol" w:hAnsi="Symbol"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
      <w:lvlJc w:val="left"/>
      <w:pPr>
        <w:tabs>
          <w:tab w:val="num" w:pos="5967"/>
        </w:tabs>
        <w:ind w:left="5967" w:hanging="360"/>
      </w:pPr>
      <w:rPr>
        <w:rFonts w:ascii="Symbol" w:hAnsi="Symbol" w:hint="default"/>
      </w:rPr>
    </w:lvl>
    <w:lvl w:ilvl="8" w:tentative="1">
      <w:start w:val="1"/>
      <w:numFmt w:val="bullet"/>
      <w:lvlText w:val=""/>
      <w:lvlJc w:val="left"/>
      <w:pPr>
        <w:tabs>
          <w:tab w:val="num" w:pos="6687"/>
        </w:tabs>
        <w:ind w:left="6687" w:hanging="360"/>
      </w:pPr>
      <w:rPr>
        <w:rFonts w:ascii="Symbol" w:hAnsi="Symbol" w:hint="default"/>
      </w:rPr>
    </w:lvl>
  </w:abstractNum>
  <w:abstractNum w:abstractNumId="4">
    <w:nsid w:val="6B0561E2"/>
    <w:multiLevelType w:val="hybridMultilevel"/>
    <w:tmpl w:val="3E86F9F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975C6"/>
    <w:rsid w:val="000A4432"/>
    <w:rsid w:val="00103686"/>
    <w:rsid w:val="001478C5"/>
    <w:rsid w:val="001510FB"/>
    <w:rsid w:val="001720F2"/>
    <w:rsid w:val="001A4E68"/>
    <w:rsid w:val="001B13EB"/>
    <w:rsid w:val="00220A88"/>
    <w:rsid w:val="002473A3"/>
    <w:rsid w:val="00252E7E"/>
    <w:rsid w:val="002571B9"/>
    <w:rsid w:val="0033164A"/>
    <w:rsid w:val="00395D8D"/>
    <w:rsid w:val="003A5B9D"/>
    <w:rsid w:val="003C68FA"/>
    <w:rsid w:val="003F0A0C"/>
    <w:rsid w:val="004151F2"/>
    <w:rsid w:val="0041713B"/>
    <w:rsid w:val="00432E0E"/>
    <w:rsid w:val="00492750"/>
    <w:rsid w:val="004E707D"/>
    <w:rsid w:val="005324D2"/>
    <w:rsid w:val="005623A1"/>
    <w:rsid w:val="005804D7"/>
    <w:rsid w:val="005E1D0B"/>
    <w:rsid w:val="005F6C0F"/>
    <w:rsid w:val="00613FBC"/>
    <w:rsid w:val="0064653C"/>
    <w:rsid w:val="006C2A16"/>
    <w:rsid w:val="007528F2"/>
    <w:rsid w:val="00774DA0"/>
    <w:rsid w:val="007871A0"/>
    <w:rsid w:val="007C5B2B"/>
    <w:rsid w:val="008309FE"/>
    <w:rsid w:val="008F3945"/>
    <w:rsid w:val="00921654"/>
    <w:rsid w:val="009479E0"/>
    <w:rsid w:val="009D31E9"/>
    <w:rsid w:val="00A70259"/>
    <w:rsid w:val="00B227D6"/>
    <w:rsid w:val="00B363AE"/>
    <w:rsid w:val="00BB16B6"/>
    <w:rsid w:val="00C15A78"/>
    <w:rsid w:val="00C2259E"/>
    <w:rsid w:val="00C348D9"/>
    <w:rsid w:val="00CB6D7C"/>
    <w:rsid w:val="00CC3FA8"/>
    <w:rsid w:val="00CF056D"/>
    <w:rsid w:val="00D908C4"/>
    <w:rsid w:val="00D972CF"/>
    <w:rsid w:val="00DA1CE3"/>
    <w:rsid w:val="00DB716A"/>
    <w:rsid w:val="00DD5480"/>
    <w:rsid w:val="00E72F77"/>
    <w:rsid w:val="00E7432D"/>
    <w:rsid w:val="00E77637"/>
    <w:rsid w:val="00E93383"/>
    <w:rsid w:val="00EC10E8"/>
    <w:rsid w:val="00EF19FB"/>
    <w:rsid w:val="00F03360"/>
    <w:rsid w:val="00F6179F"/>
    <w:rsid w:val="00F66EA8"/>
    <w:rsid w:val="00FC3984"/>
    <w:rsid w:val="00FE221D"/>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0077AA"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0077AA" w:themeColor="accent1" w:themeShade="BF"/>
      <w:sz w:val="32"/>
      <w:szCs w:val="32"/>
    </w:rPr>
  </w:style>
  <w:style w:type="paragraph" w:styleId="ListParagraph">
    <w:name w:val="List Paragraph"/>
    <w:aliases w:val="1st level - Bullet List Paragraph,Bullet list,Dot pt,EC,Lettre d'introduction,List Paragraph1,List Paragraph11,Medium Grid 1 - Accent 21,Normal bullet 2,Numbered List,Paragrafo elenco,Paragraphe EI,Paragraphe de liste1"/>
    <w:basedOn w:val="Normal"/>
    <w:link w:val="ListParagraphChar"/>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Bullet list Char,Dot pt Char,EC Char,Lettre d'introduction Char,List Paragraph1 Char,Normal bullet 2 Char,Numbered List Char,Paragrafo elenco Char,Paragraphe EI Char,Paragraphe de liste1 Char"/>
    <w:basedOn w:val="DefaultParagraphFont"/>
    <w:link w:val="ListParagraph"/>
    <w:uiPriority w:val="34"/>
    <w:qFormat/>
    <w:locked/>
    <w:rsid w:val="00F03360"/>
  </w:style>
  <w:style w:type="paragraph" w:styleId="Header">
    <w:name w:val="header"/>
    <w:basedOn w:val="Normal"/>
    <w:link w:val="HeaderChar"/>
    <w:uiPriority w:val="99"/>
    <w:unhideWhenUsed/>
    <w:rsid w:val="00E933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3383"/>
  </w:style>
  <w:style w:type="paragraph" w:styleId="Footer">
    <w:name w:val="footer"/>
    <w:basedOn w:val="Normal"/>
    <w:link w:val="FooterChar"/>
    <w:uiPriority w:val="99"/>
    <w:unhideWhenUsed/>
    <w:rsid w:val="00E933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PlainTable2">
    <w:name w:val="Plain Table 2"/>
    <w:basedOn w:val="Table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DefaultParagraphFont"/>
    <w:rsid w:val="0049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2055</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Brasero Delphine (AMUNDI-ITS)</cp:lastModifiedBy>
  <cp:revision>39</cp:revision>
  <dcterms:created xsi:type="dcterms:W3CDTF">2022-11-23T07:47:00Z</dcterms:created>
  <dcterms:modified xsi:type="dcterms:W3CDTF">2023-11-17T11:25:00Z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