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202D4430" w:rsidR="005E1D0B" w:rsidRPr="00C2259E" w:rsidRDefault="00705814" w:rsidP="007528F2">
            <w:pPr>
              <w:ind w:left="-101" w:right="-851"/>
              <w:jc w:val="both"/>
              <w:rPr>
                <w:lang w:val="en-US"/>
              </w:rPr>
            </w:pPr>
            <w:r w:rsidRPr="00705814">
              <w:rPr>
                <w:lang w:val="en-US"/>
              </w:rPr>
              <w:t>Amundi MSCI Smart Cities</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3D3C19D" w:rsidR="005E1D0B" w:rsidRPr="007528F2" w:rsidRDefault="00705814" w:rsidP="003F0A0C">
            <w:pPr>
              <w:ind w:right="-851"/>
              <w:rPr>
                <w:lang w:val="it-IT"/>
              </w:rPr>
            </w:pPr>
            <w:r w:rsidRPr="00705814">
              <w:rPr>
                <w:lang w:val="it-IT"/>
              </w:rPr>
              <w:t>5493004ZDNQO27QH8R39</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94EF2E4" w14:textId="34EE9E95" w:rsidR="001478C5" w:rsidRPr="00C2259E" w:rsidRDefault="00241E6D" w:rsidP="00241E6D">
      <w:pPr>
        <w:jc w:val="both"/>
        <w:rPr>
          <w:lang w:val="en-IE"/>
        </w:rPr>
      </w:pPr>
      <w:r w:rsidRPr="00241E6D">
        <w:rPr>
          <w:lang w:val="en-IE"/>
        </w:rPr>
        <w:t>The Sub-Fund promotes environmental and/or social characteristics through among others, replicating an</w:t>
      </w:r>
      <w:r>
        <w:rPr>
          <w:lang w:val="en-IE"/>
        </w:rPr>
        <w:t xml:space="preserve"> </w:t>
      </w:r>
      <w:r w:rsidRPr="00241E6D">
        <w:rPr>
          <w:lang w:val="en-IE"/>
        </w:rPr>
        <w:t>Index integrating an environmental, social and governance ("ESG") rating. The Index methodology is</w:t>
      </w:r>
      <w:r>
        <w:rPr>
          <w:lang w:val="en-IE"/>
        </w:rPr>
        <w:t xml:space="preserve"> </w:t>
      </w:r>
      <w:r w:rsidRPr="00241E6D">
        <w:rPr>
          <w:lang w:val="en-IE"/>
        </w:rPr>
        <w:t>constructed using a "Best-in-class approach": best ranked companies are selected to construct the Index.</w:t>
      </w:r>
      <w:r>
        <w:rPr>
          <w:lang w:val="en-IE"/>
        </w:rPr>
        <w:t xml:space="preserve"> </w:t>
      </w:r>
      <w:r w:rsidRPr="00241E6D">
        <w:rPr>
          <w:lang w:val="en-IE"/>
        </w:rPr>
        <w:t>"Best-in-class" is an approach where leading or best-performing investments are selected within a</w:t>
      </w:r>
      <w:r>
        <w:rPr>
          <w:lang w:val="en-IE"/>
        </w:rPr>
        <w:t xml:space="preserve"> </w:t>
      </w:r>
      <w:r w:rsidRPr="00241E6D">
        <w:rPr>
          <w:lang w:val="en-IE"/>
        </w:rPr>
        <w:t>universe, industry sector or class. Using such Best-in-class approach, the Index follows an extra-financial</w:t>
      </w:r>
      <w:r>
        <w:rPr>
          <w:lang w:val="en-IE"/>
        </w:rPr>
        <w:t xml:space="preserve"> </w:t>
      </w:r>
      <w:r w:rsidRPr="00241E6D">
        <w:rPr>
          <w:lang w:val="en-IE"/>
        </w:rPr>
        <w:t>approach significantly engaging that permits the reduction by at least 20% of the initial investment</w:t>
      </w:r>
      <w:r>
        <w:rPr>
          <w:lang w:val="en-IE"/>
        </w:rPr>
        <w:t xml:space="preserve"> </w:t>
      </w:r>
      <w:r w:rsidRPr="00241E6D">
        <w:rPr>
          <w:lang w:val="en-IE"/>
        </w:rPr>
        <w:t>universe (expressed in number of issuers).</w:t>
      </w:r>
    </w:p>
    <w:p w14:paraId="71A818C4" w14:textId="1BEDAE0F" w:rsidR="003A5B9D" w:rsidRPr="00C2259E" w:rsidRDefault="003A5B9D" w:rsidP="001478C5">
      <w:pPr>
        <w:jc w:val="both"/>
        <w:rPr>
          <w:lang w:val="en-IE"/>
        </w:rPr>
      </w:pP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698DFD1A" w14:textId="77777777" w:rsidR="00571F3A" w:rsidRDefault="00571F3A" w:rsidP="00F03360">
      <w:pPr>
        <w:jc w:val="both"/>
        <w:rPr>
          <w:lang w:val="en-US"/>
        </w:rPr>
      </w:pPr>
      <w:r w:rsidRPr="00571F3A">
        <w:rPr>
          <w:lang w:val="en-US"/>
        </w:rPr>
        <w:t>The Sub-Fund objective is to track the performance of MSCI ACWI IMI Smart Cities Filtered (the "Index"),</w:t>
      </w:r>
      <w:r>
        <w:rPr>
          <w:lang w:val="en-US"/>
        </w:rPr>
        <w:t xml:space="preserve"> </w:t>
      </w:r>
      <w:r w:rsidRPr="00571F3A">
        <w:rPr>
          <w:lang w:val="en-US"/>
        </w:rPr>
        <w:t>and to minimize the tracking error between the net asset value of the Sub-Fund and the performance of</w:t>
      </w:r>
      <w:r>
        <w:rPr>
          <w:lang w:val="en-US"/>
        </w:rPr>
        <w:t xml:space="preserve"> </w:t>
      </w:r>
      <w:r w:rsidRPr="00571F3A">
        <w:rPr>
          <w:lang w:val="en-US"/>
        </w:rPr>
        <w:t>the Index. The Index aims to represent the performance of companies that are expected to derive</w:t>
      </w:r>
      <w:r>
        <w:rPr>
          <w:lang w:val="en-US"/>
        </w:rPr>
        <w:t xml:space="preserve"> </w:t>
      </w:r>
      <w:r w:rsidRPr="00571F3A">
        <w:rPr>
          <w:lang w:val="en-US"/>
        </w:rPr>
        <w:t>significant revenues from activities associated with the development of new products and services focused</w:t>
      </w:r>
      <w:r>
        <w:rPr>
          <w:lang w:val="en-US"/>
        </w:rPr>
        <w:t xml:space="preserve"> </w:t>
      </w:r>
      <w:r w:rsidRPr="00571F3A">
        <w:rPr>
          <w:lang w:val="en-US"/>
        </w:rPr>
        <w:t>on smart solutions for urban infrastructure and to exclude companies which are Environmental, Social and</w:t>
      </w:r>
      <w:r>
        <w:rPr>
          <w:lang w:val="en-US"/>
        </w:rPr>
        <w:t xml:space="preserve"> </w:t>
      </w:r>
      <w:r w:rsidRPr="00571F3A">
        <w:rPr>
          <w:lang w:val="en-US"/>
        </w:rPr>
        <w:t>Governance ("ESG") laggards relative to the theme universe.</w:t>
      </w:r>
    </w:p>
    <w:p w14:paraId="631A5E3B" w14:textId="1056BDFD" w:rsidR="00571F3A" w:rsidRPr="00571F3A" w:rsidRDefault="00571F3A" w:rsidP="00571F3A">
      <w:pPr>
        <w:jc w:val="both"/>
        <w:rPr>
          <w:lang w:val="en-US"/>
        </w:rPr>
      </w:pPr>
      <w:r w:rsidRPr="00571F3A">
        <w:rPr>
          <w:lang w:val="en-US"/>
        </w:rPr>
        <w:t>This is a passively managed ETF. Its investment strategy is to replicate the Index while minimizing the</w:t>
      </w:r>
      <w:r>
        <w:rPr>
          <w:lang w:val="en-US"/>
        </w:rPr>
        <w:t xml:space="preserve"> </w:t>
      </w:r>
      <w:r w:rsidRPr="00571F3A">
        <w:rPr>
          <w:lang w:val="en-US"/>
        </w:rPr>
        <w:t>related tracking error. The Index is constructed by selecting stocks from the MSCI ACWI Investable</w:t>
      </w:r>
      <w:r>
        <w:rPr>
          <w:lang w:val="en-US"/>
        </w:rPr>
        <w:t xml:space="preserve"> </w:t>
      </w:r>
      <w:r w:rsidRPr="00571F3A">
        <w:rPr>
          <w:lang w:val="en-US"/>
        </w:rPr>
        <w:t>Market Index (IMI) (the 'Parent Index'). It selects companies which are assessed to have high exposure</w:t>
      </w:r>
      <w:r>
        <w:rPr>
          <w:lang w:val="en-US"/>
        </w:rPr>
        <w:t xml:space="preserve"> </w:t>
      </w:r>
      <w:r w:rsidRPr="00571F3A">
        <w:rPr>
          <w:lang w:val="en-US"/>
        </w:rPr>
        <w:t>to business activities such as:</w:t>
      </w:r>
    </w:p>
    <w:p w14:paraId="059DF4F3" w14:textId="77777777" w:rsidR="00571F3A" w:rsidRPr="00571F3A" w:rsidRDefault="00571F3A" w:rsidP="00571F3A">
      <w:pPr>
        <w:jc w:val="both"/>
        <w:rPr>
          <w:lang w:val="en-US"/>
        </w:rPr>
      </w:pPr>
      <w:r w:rsidRPr="00571F3A">
        <w:rPr>
          <w:lang w:val="en-US"/>
        </w:rPr>
        <w:t>-Smart Connectivity (IoT)</w:t>
      </w:r>
    </w:p>
    <w:p w14:paraId="17CAB6E4" w14:textId="77777777" w:rsidR="00571F3A" w:rsidRPr="00571F3A" w:rsidRDefault="00571F3A" w:rsidP="00571F3A">
      <w:pPr>
        <w:jc w:val="both"/>
        <w:rPr>
          <w:lang w:val="en-US"/>
        </w:rPr>
      </w:pPr>
      <w:r w:rsidRPr="00571F3A">
        <w:rPr>
          <w:lang w:val="en-US"/>
        </w:rPr>
        <w:t>-Smart Infra</w:t>
      </w:r>
    </w:p>
    <w:p w14:paraId="56D70D89" w14:textId="77777777" w:rsidR="00571F3A" w:rsidRPr="00571F3A" w:rsidRDefault="00571F3A" w:rsidP="00571F3A">
      <w:pPr>
        <w:jc w:val="both"/>
        <w:rPr>
          <w:lang w:val="en-US"/>
        </w:rPr>
      </w:pPr>
      <w:r w:rsidRPr="00571F3A">
        <w:rPr>
          <w:lang w:val="en-US"/>
        </w:rPr>
        <w:lastRenderedPageBreak/>
        <w:t>-Smart Buildings</w:t>
      </w:r>
    </w:p>
    <w:p w14:paraId="132F3044" w14:textId="77777777" w:rsidR="00571F3A" w:rsidRPr="00571F3A" w:rsidRDefault="00571F3A" w:rsidP="00571F3A">
      <w:pPr>
        <w:jc w:val="both"/>
        <w:rPr>
          <w:lang w:val="en-US"/>
        </w:rPr>
      </w:pPr>
      <w:r w:rsidRPr="00571F3A">
        <w:rPr>
          <w:lang w:val="en-US"/>
        </w:rPr>
        <w:t>-Smart Homes</w:t>
      </w:r>
    </w:p>
    <w:p w14:paraId="145B5EF9" w14:textId="77777777" w:rsidR="00571F3A" w:rsidRPr="00571F3A" w:rsidRDefault="00571F3A" w:rsidP="00571F3A">
      <w:pPr>
        <w:jc w:val="both"/>
        <w:rPr>
          <w:lang w:val="en-US"/>
        </w:rPr>
      </w:pPr>
      <w:r w:rsidRPr="00571F3A">
        <w:rPr>
          <w:lang w:val="en-US"/>
        </w:rPr>
        <w:t>-Smart Safety &amp; Security</w:t>
      </w:r>
    </w:p>
    <w:p w14:paraId="105727C3" w14:textId="77777777" w:rsidR="00571F3A" w:rsidRPr="00571F3A" w:rsidRDefault="00571F3A" w:rsidP="00571F3A">
      <w:pPr>
        <w:jc w:val="both"/>
        <w:rPr>
          <w:lang w:val="en-US"/>
        </w:rPr>
      </w:pPr>
      <w:r w:rsidRPr="00571F3A">
        <w:rPr>
          <w:lang w:val="en-US"/>
        </w:rPr>
        <w:t>-Smart Mobility</w:t>
      </w:r>
    </w:p>
    <w:p w14:paraId="7A9D2B3E" w14:textId="77777777" w:rsidR="00571F3A" w:rsidRPr="00571F3A" w:rsidRDefault="00571F3A" w:rsidP="00571F3A">
      <w:pPr>
        <w:jc w:val="both"/>
        <w:rPr>
          <w:lang w:val="en-US"/>
        </w:rPr>
      </w:pPr>
      <w:r w:rsidRPr="00571F3A">
        <w:rPr>
          <w:lang w:val="en-US"/>
        </w:rPr>
        <w:t>-Smart Waste and Water Management</w:t>
      </w:r>
    </w:p>
    <w:p w14:paraId="24FBAF64" w14:textId="614D6BAD" w:rsidR="00571F3A" w:rsidRPr="00571F3A" w:rsidRDefault="00571F3A" w:rsidP="00571F3A">
      <w:pPr>
        <w:jc w:val="both"/>
        <w:rPr>
          <w:lang w:val="en-US"/>
        </w:rPr>
      </w:pPr>
      <w:r w:rsidRPr="00571F3A">
        <w:rPr>
          <w:lang w:val="en-US"/>
        </w:rPr>
        <w:t>-Smart Energy and Grids The Index is an equity index calculated and published by the international</w:t>
      </w:r>
      <w:r>
        <w:rPr>
          <w:lang w:val="en-US"/>
        </w:rPr>
        <w:t xml:space="preserve"> </w:t>
      </w:r>
      <w:r w:rsidRPr="00571F3A">
        <w:rPr>
          <w:lang w:val="en-US"/>
        </w:rPr>
        <w:t>index provider MSCI.</w:t>
      </w:r>
    </w:p>
    <w:p w14:paraId="66844E31" w14:textId="77777777" w:rsidR="00571F3A" w:rsidRPr="00571F3A" w:rsidRDefault="00571F3A" w:rsidP="00571F3A">
      <w:pPr>
        <w:jc w:val="both"/>
        <w:rPr>
          <w:lang w:val="en-US"/>
        </w:rPr>
      </w:pPr>
      <w:r w:rsidRPr="00571F3A">
        <w:rPr>
          <w:lang w:val="en-US"/>
        </w:rPr>
        <w:t>The Index features the following characteristics:</w:t>
      </w:r>
    </w:p>
    <w:p w14:paraId="4C4E7946" w14:textId="048D978E" w:rsidR="00571F3A" w:rsidRPr="00571F3A" w:rsidRDefault="00571F3A" w:rsidP="00571F3A">
      <w:pPr>
        <w:jc w:val="both"/>
        <w:rPr>
          <w:lang w:val="en-US"/>
        </w:rPr>
      </w:pPr>
      <w:r w:rsidRPr="00571F3A">
        <w:rPr>
          <w:lang w:val="en-US"/>
        </w:rPr>
        <w:t xml:space="preserve">a) Same investment universe as the MSCI ACWI Investable Market Index (IMI) (the "Parent Index"); </w:t>
      </w:r>
      <w:proofErr w:type="spellStart"/>
      <w:r w:rsidRPr="00571F3A">
        <w:rPr>
          <w:lang w:val="en-US"/>
        </w:rPr>
        <w:t>ie</w:t>
      </w:r>
      <w:proofErr w:type="spellEnd"/>
      <w:r>
        <w:rPr>
          <w:lang w:val="en-US"/>
        </w:rPr>
        <w:t xml:space="preserve"> </w:t>
      </w:r>
      <w:r w:rsidRPr="00571F3A">
        <w:rPr>
          <w:lang w:val="en-US"/>
        </w:rPr>
        <w:t>including large, mid and small cap stocks across developed and emerging countries.</w:t>
      </w:r>
    </w:p>
    <w:p w14:paraId="52E325D6" w14:textId="7D7047D8" w:rsidR="00571F3A" w:rsidRPr="00571F3A" w:rsidRDefault="00571F3A" w:rsidP="00571F3A">
      <w:pPr>
        <w:jc w:val="both"/>
        <w:rPr>
          <w:lang w:val="en-US"/>
        </w:rPr>
      </w:pPr>
      <w:r w:rsidRPr="00571F3A">
        <w:rPr>
          <w:lang w:val="en-US"/>
        </w:rPr>
        <w:t>b) A set of relevant words and phrases derived from the above business activities is used to identify</w:t>
      </w:r>
      <w:r>
        <w:rPr>
          <w:lang w:val="en-US"/>
        </w:rPr>
        <w:t xml:space="preserve"> </w:t>
      </w:r>
      <w:r w:rsidRPr="00571F3A">
        <w:rPr>
          <w:lang w:val="en-US"/>
        </w:rPr>
        <w:t>companies (the "Eligible Universe") which could benefit from the increased adoption and utilization of</w:t>
      </w:r>
      <w:r>
        <w:rPr>
          <w:lang w:val="en-US"/>
        </w:rPr>
        <w:t xml:space="preserve"> </w:t>
      </w:r>
      <w:r w:rsidRPr="00571F3A">
        <w:rPr>
          <w:lang w:val="en-US"/>
        </w:rPr>
        <w:t>products and services focused on automation and artificial intelligence.</w:t>
      </w:r>
    </w:p>
    <w:p w14:paraId="06CEB401" w14:textId="1178F99D" w:rsidR="00571F3A" w:rsidRPr="00571F3A" w:rsidRDefault="00571F3A" w:rsidP="00571F3A">
      <w:pPr>
        <w:jc w:val="both"/>
        <w:rPr>
          <w:lang w:val="en-US"/>
        </w:rPr>
      </w:pPr>
      <w:r w:rsidRPr="00571F3A">
        <w:rPr>
          <w:lang w:val="en-US"/>
        </w:rPr>
        <w:t>c) Companies from the Eligible Universe with a "Relevance Score" (as defined by MSCI) above 25%</w:t>
      </w:r>
      <w:r>
        <w:rPr>
          <w:lang w:val="en-US"/>
        </w:rPr>
        <w:t xml:space="preserve"> </w:t>
      </w:r>
      <w:r w:rsidRPr="00571F3A">
        <w:rPr>
          <w:lang w:val="en-US"/>
        </w:rPr>
        <w:t>constitute the "Selected Universe".</w:t>
      </w:r>
    </w:p>
    <w:p w14:paraId="42DC36CC" w14:textId="77777777" w:rsidR="00571F3A" w:rsidRPr="00571F3A" w:rsidRDefault="00571F3A" w:rsidP="00571F3A">
      <w:pPr>
        <w:jc w:val="both"/>
        <w:rPr>
          <w:lang w:val="en-US"/>
        </w:rPr>
      </w:pPr>
      <w:r w:rsidRPr="00571F3A">
        <w:rPr>
          <w:lang w:val="en-US"/>
        </w:rPr>
        <w:t>d) Further liquidity/size/country/sectorial filters are applied to the Selected Universe.</w:t>
      </w:r>
    </w:p>
    <w:p w14:paraId="46F6F3F6" w14:textId="27A49B88" w:rsidR="00571F3A" w:rsidRPr="00571F3A" w:rsidRDefault="00571F3A" w:rsidP="00571F3A">
      <w:pPr>
        <w:jc w:val="both"/>
        <w:rPr>
          <w:lang w:val="en-US"/>
        </w:rPr>
      </w:pPr>
      <w:r w:rsidRPr="00571F3A">
        <w:rPr>
          <w:lang w:val="en-US"/>
        </w:rPr>
        <w:t>e) An ESG negative screening is performed on the Selected Universe as defined in the methodology in</w:t>
      </w:r>
      <w:r>
        <w:rPr>
          <w:lang w:val="en-US"/>
        </w:rPr>
        <w:t xml:space="preserve"> </w:t>
      </w:r>
      <w:r w:rsidRPr="00571F3A">
        <w:rPr>
          <w:lang w:val="en-US"/>
        </w:rPr>
        <w:t>order to exclude:</w:t>
      </w:r>
    </w:p>
    <w:p w14:paraId="0A4087D9" w14:textId="76333662" w:rsidR="00571F3A" w:rsidRPr="00571F3A" w:rsidRDefault="00571F3A" w:rsidP="00571F3A">
      <w:pPr>
        <w:jc w:val="both"/>
        <w:rPr>
          <w:lang w:val="en-US"/>
        </w:rPr>
      </w:pPr>
      <w:r w:rsidRPr="00571F3A">
        <w:rPr>
          <w:lang w:val="en-US"/>
        </w:rPr>
        <w:t>- Companies with exposure to controversial businesses such as controversial weapons, conventional</w:t>
      </w:r>
      <w:r>
        <w:rPr>
          <w:lang w:val="en-US"/>
        </w:rPr>
        <w:t xml:space="preserve"> </w:t>
      </w:r>
      <w:r w:rsidRPr="00571F3A">
        <w:rPr>
          <w:lang w:val="en-US"/>
        </w:rPr>
        <w:t>weapons, tobacco, thermal coal, civilian firearms, oil sands, nuclear weapons or companies in</w:t>
      </w:r>
      <w:r>
        <w:rPr>
          <w:lang w:val="en-US"/>
        </w:rPr>
        <w:t xml:space="preserve"> </w:t>
      </w:r>
      <w:r w:rsidRPr="00571F3A">
        <w:rPr>
          <w:lang w:val="en-US"/>
        </w:rPr>
        <w:t>violation of UN Global Compact; and</w:t>
      </w:r>
    </w:p>
    <w:p w14:paraId="68A833B8" w14:textId="77777777" w:rsidR="00571F3A" w:rsidRPr="00571F3A" w:rsidRDefault="00571F3A" w:rsidP="00571F3A">
      <w:pPr>
        <w:jc w:val="both"/>
        <w:rPr>
          <w:lang w:val="en-US"/>
        </w:rPr>
      </w:pPr>
      <w:r w:rsidRPr="00571F3A">
        <w:rPr>
          <w:lang w:val="en-US"/>
        </w:rPr>
        <w:t>- Companies with no "ESG Rating" (as defined by MSCI).</w:t>
      </w:r>
    </w:p>
    <w:p w14:paraId="5B403264" w14:textId="77777777" w:rsidR="00571F3A" w:rsidRDefault="00571F3A" w:rsidP="00571F3A">
      <w:pPr>
        <w:jc w:val="both"/>
        <w:rPr>
          <w:lang w:val="en-US"/>
        </w:rPr>
      </w:pPr>
      <w:r w:rsidRPr="00571F3A">
        <w:rPr>
          <w:lang w:val="en-US"/>
        </w:rPr>
        <w:t>f) A filtered universe is constructed using a "Best-in-class" approach (the "Filtered Universe"): bottom</w:t>
      </w:r>
      <w:r>
        <w:rPr>
          <w:lang w:val="en-US"/>
        </w:rPr>
        <w:t xml:space="preserve"> </w:t>
      </w:r>
      <w:r w:rsidRPr="00571F3A">
        <w:rPr>
          <w:lang w:val="en-US"/>
        </w:rPr>
        <w:t>quartile companies by an industry-adjusted ESG Rating (as defined by MSCI) are excluded from the</w:t>
      </w:r>
      <w:r>
        <w:rPr>
          <w:lang w:val="en-US"/>
        </w:rPr>
        <w:t xml:space="preserve"> </w:t>
      </w:r>
      <w:r w:rsidRPr="00571F3A">
        <w:rPr>
          <w:lang w:val="en-US"/>
        </w:rPr>
        <w:t>filtered Selected Universe. "Best-in-class" approach is an approach where leading or best-performing</w:t>
      </w:r>
      <w:r>
        <w:rPr>
          <w:lang w:val="en-US"/>
        </w:rPr>
        <w:t xml:space="preserve"> </w:t>
      </w:r>
      <w:r w:rsidRPr="00571F3A">
        <w:rPr>
          <w:lang w:val="en-US"/>
        </w:rPr>
        <w:t>investments are selected within a universe, industry sector or class.</w:t>
      </w:r>
    </w:p>
    <w:p w14:paraId="58920C3C" w14:textId="6F1A0FA4" w:rsidR="00571F3A" w:rsidRPr="00571F3A" w:rsidRDefault="00571F3A" w:rsidP="00571F3A">
      <w:pPr>
        <w:jc w:val="both"/>
        <w:rPr>
          <w:lang w:val="en-US"/>
        </w:rPr>
      </w:pPr>
      <w:r w:rsidRPr="00571F3A">
        <w:rPr>
          <w:lang w:val="en-US"/>
        </w:rPr>
        <w:t>MSCI ESG Rating methodology uses a rules-based methodology designed to measure a company's</w:t>
      </w:r>
      <w:r>
        <w:rPr>
          <w:lang w:val="en-US"/>
        </w:rPr>
        <w:t xml:space="preserve"> </w:t>
      </w:r>
      <w:r w:rsidRPr="00571F3A">
        <w:rPr>
          <w:lang w:val="en-US"/>
        </w:rPr>
        <w:t xml:space="preserve">resilience to </w:t>
      </w:r>
      <w:proofErr w:type="spellStart"/>
      <w:r w:rsidRPr="00571F3A">
        <w:rPr>
          <w:lang w:val="en-US"/>
        </w:rPr>
        <w:t>longterm</w:t>
      </w:r>
      <w:proofErr w:type="spellEnd"/>
      <w:r w:rsidRPr="00571F3A">
        <w:rPr>
          <w:lang w:val="en-US"/>
        </w:rPr>
        <w:t>,</w:t>
      </w:r>
      <w:r>
        <w:rPr>
          <w:lang w:val="en-US"/>
        </w:rPr>
        <w:t xml:space="preserve"> </w:t>
      </w:r>
      <w:r w:rsidRPr="00571F3A">
        <w:rPr>
          <w:lang w:val="en-US"/>
        </w:rPr>
        <w:t>industry material ESG risks. It is based on extra-financial ESG key issues that</w:t>
      </w:r>
      <w:r>
        <w:rPr>
          <w:lang w:val="en-US"/>
        </w:rPr>
        <w:t xml:space="preserve"> </w:t>
      </w:r>
      <w:r w:rsidRPr="00571F3A">
        <w:rPr>
          <w:lang w:val="en-US"/>
        </w:rPr>
        <w:t>focus on the intersection between a company’s core business and the industry-specific issues that may</w:t>
      </w:r>
      <w:r>
        <w:rPr>
          <w:lang w:val="en-US"/>
        </w:rPr>
        <w:t xml:space="preserve"> </w:t>
      </w:r>
      <w:r w:rsidRPr="00571F3A">
        <w:rPr>
          <w:lang w:val="en-US"/>
        </w:rPr>
        <w:t>create significant risks and opportunities for the company. The ESG key issues are weighted according</w:t>
      </w:r>
      <w:r>
        <w:rPr>
          <w:lang w:val="en-US"/>
        </w:rPr>
        <w:t xml:space="preserve"> </w:t>
      </w:r>
      <w:r w:rsidRPr="00571F3A">
        <w:rPr>
          <w:lang w:val="en-US"/>
        </w:rPr>
        <w:t>to impact and time horizon of the risk or opportunity. The ESG key issues include for instance, but are</w:t>
      </w:r>
      <w:r>
        <w:rPr>
          <w:lang w:val="en-US"/>
        </w:rPr>
        <w:t xml:space="preserve"> </w:t>
      </w:r>
      <w:r w:rsidRPr="00571F3A">
        <w:rPr>
          <w:lang w:val="en-US"/>
        </w:rPr>
        <w:t>not limited to, water stress, carbon emissions, labor management or business ethics. By using such</w:t>
      </w:r>
      <w:r>
        <w:rPr>
          <w:lang w:val="en-US"/>
        </w:rPr>
        <w:t xml:space="preserve"> </w:t>
      </w:r>
      <w:r w:rsidRPr="00571F3A">
        <w:rPr>
          <w:lang w:val="en-US"/>
        </w:rPr>
        <w:t>Best-in-class approach, the Sub-Fund follows an extra-financial approach significantly engaging that</w:t>
      </w:r>
      <w:r>
        <w:rPr>
          <w:lang w:val="en-US"/>
        </w:rPr>
        <w:t xml:space="preserve"> </w:t>
      </w:r>
      <w:r w:rsidRPr="00571F3A">
        <w:rPr>
          <w:lang w:val="en-US"/>
        </w:rPr>
        <w:t>permits the reduction by at least 20% of the initial investment universe (expressed in number of</w:t>
      </w:r>
      <w:r>
        <w:rPr>
          <w:lang w:val="en-US"/>
        </w:rPr>
        <w:t xml:space="preserve"> </w:t>
      </w:r>
      <w:r w:rsidRPr="00571F3A">
        <w:rPr>
          <w:lang w:val="en-US"/>
        </w:rPr>
        <w:t>issuers). Limits of the extra-financial approach are mentioned in the section "Main risks" below. The</w:t>
      </w:r>
      <w:r>
        <w:rPr>
          <w:lang w:val="en-US"/>
        </w:rPr>
        <w:t xml:space="preserve"> </w:t>
      </w:r>
      <w:r w:rsidRPr="00571F3A">
        <w:rPr>
          <w:lang w:val="en-US"/>
        </w:rPr>
        <w:t>extra-financial data coverage is 100% of the eligible securities of the Parent Index. Non ESG rated</w:t>
      </w:r>
      <w:r>
        <w:rPr>
          <w:lang w:val="en-US"/>
        </w:rPr>
        <w:t xml:space="preserve"> </w:t>
      </w:r>
      <w:r w:rsidRPr="00571F3A">
        <w:rPr>
          <w:lang w:val="en-US"/>
        </w:rPr>
        <w:t>companies are excluded from the selection process of the Index.</w:t>
      </w:r>
    </w:p>
    <w:p w14:paraId="75EC5174" w14:textId="77777777" w:rsidR="00571F3A" w:rsidRPr="00571F3A" w:rsidRDefault="00571F3A" w:rsidP="00571F3A">
      <w:pPr>
        <w:jc w:val="both"/>
        <w:rPr>
          <w:lang w:val="en-US"/>
        </w:rPr>
      </w:pPr>
      <w:r w:rsidRPr="00571F3A">
        <w:rPr>
          <w:lang w:val="en-US"/>
        </w:rPr>
        <w:t>g) The top half in terms of Relevance Score of the Filtered Universe constitutes the Index composition.</w:t>
      </w:r>
    </w:p>
    <w:p w14:paraId="4ADFE0C8" w14:textId="6A7BCE36" w:rsidR="00571F3A" w:rsidRPr="00571F3A" w:rsidRDefault="00571F3A" w:rsidP="00571F3A">
      <w:pPr>
        <w:jc w:val="both"/>
        <w:rPr>
          <w:lang w:val="en-US"/>
        </w:rPr>
      </w:pPr>
      <w:r w:rsidRPr="00571F3A">
        <w:rPr>
          <w:lang w:val="en-US"/>
        </w:rPr>
        <w:lastRenderedPageBreak/>
        <w:t>h) The index is weighted in line with the MSCI Adaptive Capped Indexes Methodology (as described on</w:t>
      </w:r>
      <w:r>
        <w:rPr>
          <w:lang w:val="en-US"/>
        </w:rPr>
        <w:t xml:space="preserve"> </w:t>
      </w:r>
      <w:r w:rsidRPr="00571F3A">
        <w:rPr>
          <w:lang w:val="en-US"/>
        </w:rPr>
        <w:t>MSCI website), with fixed multiplier ("L") set to 5. This methodology aims to generate a capped index</w:t>
      </w:r>
      <w:r>
        <w:rPr>
          <w:lang w:val="en-US"/>
        </w:rPr>
        <w:t xml:space="preserve"> </w:t>
      </w:r>
      <w:r w:rsidRPr="00571F3A">
        <w:rPr>
          <w:lang w:val="en-US"/>
        </w:rPr>
        <w:t>with high replicability and low turnover with a pre-defined maximum constraint factor for the</w:t>
      </w:r>
      <w:r>
        <w:rPr>
          <w:lang w:val="en-US"/>
        </w:rPr>
        <w:t xml:space="preserve"> </w:t>
      </w:r>
      <w:r w:rsidRPr="00571F3A">
        <w:rPr>
          <w:lang w:val="en-US"/>
        </w:rPr>
        <w:t>uncapped constituents of the index.</w:t>
      </w:r>
    </w:p>
    <w:p w14:paraId="6BD8A710" w14:textId="43DB123C" w:rsidR="00571F3A" w:rsidRPr="00571F3A" w:rsidRDefault="00571F3A" w:rsidP="00571F3A">
      <w:pPr>
        <w:jc w:val="both"/>
        <w:rPr>
          <w:lang w:val="en-US"/>
        </w:rPr>
      </w:pPr>
      <w:proofErr w:type="spellStart"/>
      <w:r w:rsidRPr="00571F3A">
        <w:rPr>
          <w:lang w:val="en-US"/>
        </w:rPr>
        <w:t>i</w:t>
      </w:r>
      <w:proofErr w:type="spellEnd"/>
      <w:r w:rsidRPr="00571F3A">
        <w:rPr>
          <w:lang w:val="en-US"/>
        </w:rPr>
        <w:t xml:space="preserve">) An iterative </w:t>
      </w:r>
      <w:proofErr w:type="spellStart"/>
      <w:r w:rsidRPr="00571F3A">
        <w:rPr>
          <w:lang w:val="en-US"/>
        </w:rPr>
        <w:t>downweighting</w:t>
      </w:r>
      <w:proofErr w:type="spellEnd"/>
      <w:r w:rsidRPr="00571F3A">
        <w:rPr>
          <w:lang w:val="en-US"/>
        </w:rPr>
        <w:t xml:space="preserve"> ensures that the carbon emission intensity and the weighted average of</w:t>
      </w:r>
      <w:r>
        <w:rPr>
          <w:lang w:val="en-US"/>
        </w:rPr>
        <w:t xml:space="preserve"> </w:t>
      </w:r>
      <w:r w:rsidRPr="00571F3A">
        <w:rPr>
          <w:lang w:val="en-US"/>
        </w:rPr>
        <w:t>board independence of the Index are respectively lower and higher than the ones of the MSCI ACWI</w:t>
      </w:r>
      <w:r>
        <w:rPr>
          <w:lang w:val="en-US"/>
        </w:rPr>
        <w:t xml:space="preserve"> </w:t>
      </w:r>
      <w:r w:rsidRPr="00571F3A">
        <w:rPr>
          <w:lang w:val="en-US"/>
        </w:rPr>
        <w:t>IMI Smart Cities Index. For further information in relation to the general and specific environmental,</w:t>
      </w:r>
      <w:r>
        <w:rPr>
          <w:lang w:val="en-US"/>
        </w:rPr>
        <w:t xml:space="preserve"> </w:t>
      </w:r>
      <w:r w:rsidRPr="00571F3A">
        <w:rPr>
          <w:lang w:val="en-US"/>
        </w:rPr>
        <w:t>social and governance (ESG) objectives targeted by the Sub-Fund, please refer to the Transparency</w:t>
      </w:r>
      <w:r>
        <w:rPr>
          <w:lang w:val="en-US"/>
        </w:rPr>
        <w:t xml:space="preserve"> </w:t>
      </w:r>
      <w:r w:rsidRPr="00571F3A">
        <w:rPr>
          <w:lang w:val="en-US"/>
        </w:rPr>
        <w:t>Code of the Sub-Fund available on https://www.amundietf.com. Environmental and/or social</w:t>
      </w:r>
      <w:r>
        <w:rPr>
          <w:lang w:val="en-US"/>
        </w:rPr>
        <w:t xml:space="preserve"> </w:t>
      </w:r>
      <w:r w:rsidRPr="00571F3A">
        <w:rPr>
          <w:lang w:val="en-US"/>
        </w:rPr>
        <w:t>characteristics promoted by the Sub-Fund are met through the MSCI ESG Rating methodology (as</w:t>
      </w:r>
      <w:r>
        <w:rPr>
          <w:lang w:val="en-US"/>
        </w:rPr>
        <w:t xml:space="preserve"> </w:t>
      </w:r>
      <w:r w:rsidRPr="00571F3A">
        <w:rPr>
          <w:lang w:val="en-US"/>
        </w:rPr>
        <w:t>described above).</w:t>
      </w:r>
    </w:p>
    <w:p w14:paraId="4013B187" w14:textId="56F063E9" w:rsidR="00FD1D2C" w:rsidRDefault="00571F3A" w:rsidP="00571F3A">
      <w:pPr>
        <w:jc w:val="both"/>
        <w:rPr>
          <w:lang w:val="en-US"/>
        </w:rPr>
      </w:pPr>
      <w:r w:rsidRPr="00571F3A">
        <w:rPr>
          <w:lang w:val="en-US"/>
        </w:rPr>
        <w:t>The complete methodology for the Index (including maintenance and rebalancing of the Index) is</w:t>
      </w:r>
      <w:r>
        <w:rPr>
          <w:lang w:val="en-US"/>
        </w:rPr>
        <w:t xml:space="preserve"> </w:t>
      </w:r>
      <w:r w:rsidRPr="00571F3A">
        <w:rPr>
          <w:lang w:val="en-US"/>
        </w:rPr>
        <w:t xml:space="preserve">available for consultation on the MSCI website: </w:t>
      </w:r>
      <w:hyperlink r:id="rId7" w:history="1">
        <w:r w:rsidR="00FD1D2C" w:rsidRPr="00944AA3">
          <w:rPr>
            <w:rStyle w:val="Lienhypertexte"/>
            <w:lang w:val="en-US"/>
          </w:rPr>
          <w:t>https://www.msci.com/index-methodology</w:t>
        </w:r>
      </w:hyperlink>
      <w:r w:rsidRPr="00571F3A">
        <w:rPr>
          <w:lang w:val="en-US"/>
        </w:rPr>
        <w:t>.</w:t>
      </w:r>
    </w:p>
    <w:p w14:paraId="687A7443" w14:textId="5D69D4C0" w:rsidR="00571F3A" w:rsidRDefault="00571F3A" w:rsidP="00571F3A">
      <w:pPr>
        <w:jc w:val="both"/>
        <w:rPr>
          <w:lang w:val="en-US"/>
        </w:rPr>
      </w:pPr>
      <w:r w:rsidRPr="00571F3A">
        <w:rPr>
          <w:lang w:val="en-US"/>
        </w:rPr>
        <w:t>The</w:t>
      </w:r>
      <w:r>
        <w:rPr>
          <w:lang w:val="en-US"/>
        </w:rPr>
        <w:t xml:space="preserve"> </w:t>
      </w:r>
      <w:r w:rsidRPr="00571F3A">
        <w:rPr>
          <w:lang w:val="en-US"/>
        </w:rPr>
        <w:t xml:space="preserve">Product strategy is also relying on systematic exclusions policies (normative and </w:t>
      </w:r>
      <w:proofErr w:type="spellStart"/>
      <w:r w:rsidRPr="00571F3A">
        <w:rPr>
          <w:lang w:val="en-US"/>
        </w:rPr>
        <w:t>sectorials</w:t>
      </w:r>
      <w:proofErr w:type="spellEnd"/>
      <w:r w:rsidRPr="00571F3A">
        <w:rPr>
          <w:lang w:val="en-US"/>
        </w:rPr>
        <w:t>) as further</w:t>
      </w:r>
      <w:r>
        <w:rPr>
          <w:lang w:val="en-US"/>
        </w:rPr>
        <w:t xml:space="preserve"> </w:t>
      </w:r>
      <w:r w:rsidRPr="00571F3A">
        <w:rPr>
          <w:lang w:val="en-US"/>
        </w:rPr>
        <w:t>described in Amundi Responsible Investment policy.</w:t>
      </w:r>
    </w:p>
    <w:p w14:paraId="56D7B633" w14:textId="1417A126" w:rsidR="00F03360" w:rsidRPr="00F03360" w:rsidRDefault="001A1570" w:rsidP="00F03360">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3CDD8388" w14:textId="12D526B4" w:rsidR="001478C5" w:rsidRPr="00C2259E" w:rsidRDefault="007B3451" w:rsidP="007B3451">
      <w:pPr>
        <w:jc w:val="both"/>
        <w:rPr>
          <w:lang w:val="en-US"/>
        </w:rPr>
      </w:pPr>
      <w:r w:rsidRPr="007B3451">
        <w:rPr>
          <w:lang w:val="en-US"/>
        </w:rPr>
        <w:t>At least 90% of the Sub-Fund's securities and instruments will meet the promoted environmental or social</w:t>
      </w:r>
      <w:r>
        <w:rPr>
          <w:lang w:val="en-US"/>
        </w:rPr>
        <w:t xml:space="preserve"> </w:t>
      </w:r>
      <w:r w:rsidRPr="007B3451">
        <w:rPr>
          <w:lang w:val="en-US"/>
        </w:rPr>
        <w:t>characteristics in accordance with the binding elements of the Index methodology. Furthermore, the</w:t>
      </w:r>
      <w:r>
        <w:rPr>
          <w:lang w:val="en-US"/>
        </w:rPr>
        <w:t xml:space="preserve"> </w:t>
      </w:r>
      <w:r w:rsidRPr="007B3451">
        <w:rPr>
          <w:lang w:val="en-US"/>
        </w:rPr>
        <w:t>Sub-Fund commits to have a minimum of 15 % of sustainable investments as per the below chart.</w:t>
      </w:r>
      <w:r>
        <w:rPr>
          <w:lang w:val="en-US"/>
        </w:rPr>
        <w:t xml:space="preserve"> </w:t>
      </w:r>
      <w:r w:rsidRPr="007B3451">
        <w:rPr>
          <w:lang w:val="en-US"/>
        </w:rPr>
        <w:t>Investments aligned with other E/S characteristics (#1B) will represent the difference between the</w:t>
      </w:r>
      <w:r>
        <w:rPr>
          <w:lang w:val="en-US"/>
        </w:rPr>
        <w:t xml:space="preserve"> </w:t>
      </w:r>
      <w:r w:rsidRPr="007B3451">
        <w:rPr>
          <w:lang w:val="en-US"/>
        </w:rPr>
        <w:t>actual</w:t>
      </w:r>
      <w:r>
        <w:rPr>
          <w:lang w:val="en-US"/>
        </w:rPr>
        <w:t xml:space="preserve"> </w:t>
      </w:r>
      <w:r w:rsidRPr="007B3451">
        <w:rPr>
          <w:lang w:val="en-US"/>
        </w:rPr>
        <w:t>proportion of investments aligned with environmental or social characteristics (#1) and the actual</w:t>
      </w:r>
      <w:r>
        <w:rPr>
          <w:lang w:val="en-US"/>
        </w:rPr>
        <w:t xml:space="preserve"> </w:t>
      </w:r>
      <w:r w:rsidRPr="007B3451">
        <w:rPr>
          <w:lang w:val="en-US"/>
        </w:rPr>
        <w:t>proportion of sustainable investments (#1A).The planned proportion of other environmental investment</w:t>
      </w:r>
      <w:r>
        <w:rPr>
          <w:lang w:val="en-US"/>
        </w:rPr>
        <w:t xml:space="preserve"> </w:t>
      </w:r>
      <w:r w:rsidRPr="007B3451">
        <w:rPr>
          <w:lang w:val="en-US"/>
        </w:rPr>
        <w:t>represents a minimum of 15 % (</w:t>
      </w:r>
      <w:proofErr w:type="spellStart"/>
      <w:r w:rsidRPr="007B3451">
        <w:rPr>
          <w:lang w:val="en-US"/>
        </w:rPr>
        <w:t>i</w:t>
      </w:r>
      <w:proofErr w:type="spellEnd"/>
      <w:r w:rsidRPr="007B3451">
        <w:rPr>
          <w:lang w:val="en-US"/>
        </w:rPr>
        <w:t>) and may change as the actual proportions of Taxonomy-aligned and/or</w:t>
      </w:r>
      <w:r>
        <w:rPr>
          <w:lang w:val="en-US"/>
        </w:rPr>
        <w:t xml:space="preserve"> </w:t>
      </w:r>
      <w:r w:rsidRPr="007B3451">
        <w:rPr>
          <w:lang w:val="en-US"/>
        </w:rPr>
        <w:t>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lastRenderedPageBreak/>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3FA30A12" w14:textId="77777777" w:rsidR="00980919" w:rsidRPr="00980919" w:rsidRDefault="00980919" w:rsidP="00980919">
      <w:pPr>
        <w:tabs>
          <w:tab w:val="num" w:pos="1560"/>
        </w:tabs>
        <w:spacing w:after="0"/>
        <w:jc w:val="both"/>
        <w:rPr>
          <w:lang w:val="en-US"/>
        </w:rPr>
      </w:pPr>
      <w:r w:rsidRPr="00980919">
        <w:rPr>
          <w:lang w:val="en-US"/>
        </w:rPr>
        <w:t>The Index aims to represent the performance of companies that are expected to derive significant</w:t>
      </w:r>
    </w:p>
    <w:p w14:paraId="6CC61A85" w14:textId="77777777" w:rsidR="00980919" w:rsidRPr="00980919" w:rsidRDefault="00980919" w:rsidP="00980919">
      <w:pPr>
        <w:tabs>
          <w:tab w:val="num" w:pos="1560"/>
        </w:tabs>
        <w:spacing w:after="0"/>
        <w:jc w:val="both"/>
        <w:rPr>
          <w:lang w:val="en-US"/>
        </w:rPr>
      </w:pPr>
      <w:r w:rsidRPr="00980919">
        <w:rPr>
          <w:lang w:val="en-US"/>
        </w:rPr>
        <w:t>revenues from activities associated with the development of new products and services focused on</w:t>
      </w:r>
    </w:p>
    <w:p w14:paraId="06F4532F" w14:textId="77777777" w:rsidR="00980919" w:rsidRPr="00980919" w:rsidRDefault="00980919" w:rsidP="00980919">
      <w:pPr>
        <w:tabs>
          <w:tab w:val="num" w:pos="1560"/>
        </w:tabs>
        <w:spacing w:after="0"/>
        <w:jc w:val="both"/>
        <w:rPr>
          <w:lang w:val="en-US"/>
        </w:rPr>
      </w:pPr>
      <w:r w:rsidRPr="00980919">
        <w:rPr>
          <w:lang w:val="en-US"/>
        </w:rPr>
        <w:lastRenderedPageBreak/>
        <w:t>smart solutions for urban infrastructure and to exclude companies which are Environmental, Social</w:t>
      </w:r>
    </w:p>
    <w:p w14:paraId="53674E28" w14:textId="77777777" w:rsidR="00980919" w:rsidRDefault="00980919" w:rsidP="00980919">
      <w:pPr>
        <w:tabs>
          <w:tab w:val="num" w:pos="1560"/>
        </w:tabs>
        <w:spacing w:after="0"/>
        <w:jc w:val="both"/>
        <w:rPr>
          <w:lang w:val="en-US"/>
        </w:rPr>
      </w:pPr>
      <w:r w:rsidRPr="00980919">
        <w:rPr>
          <w:lang w:val="en-US"/>
        </w:rPr>
        <w:t>and Governance ("ESG") laggards relative to the theme universe.</w:t>
      </w:r>
    </w:p>
    <w:p w14:paraId="2D863328" w14:textId="288A6A1F" w:rsidR="00274FF5" w:rsidRDefault="00980919" w:rsidP="00807E98">
      <w:pPr>
        <w:tabs>
          <w:tab w:val="num" w:pos="1560"/>
        </w:tabs>
        <w:spacing w:after="0"/>
        <w:jc w:val="both"/>
        <w:rPr>
          <w:lang w:val="en-US"/>
        </w:rPr>
      </w:pPr>
      <w:r w:rsidRPr="00980919">
        <w:rPr>
          <w:lang w:val="en-US"/>
        </w:rPr>
        <w:t xml:space="preserve">Additional information on the Index can be found at : </w:t>
      </w:r>
      <w:hyperlink r:id="rId8" w:history="1">
        <w:r w:rsidRPr="00944AA3">
          <w:rPr>
            <w:rStyle w:val="Lienhypertexte"/>
            <w:lang w:val="en-US"/>
          </w:rPr>
          <w:t>www.MSCI.com</w:t>
        </w:r>
      </w:hyperlink>
    </w:p>
    <w:p w14:paraId="1308098F" w14:textId="77777777" w:rsidR="00980919" w:rsidRPr="00980919" w:rsidRDefault="00980919" w:rsidP="00807E98">
      <w:pPr>
        <w:tabs>
          <w:tab w:val="num" w:pos="1560"/>
        </w:tabs>
        <w:spacing w:after="0"/>
        <w:jc w:val="both"/>
        <w:rPr>
          <w:lang w:val="en-US"/>
        </w:rPr>
      </w:pPr>
    </w:p>
    <w:sectPr w:rsidR="00980919" w:rsidRPr="009809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1FFF"/>
    <w:rsid w:val="000975C6"/>
    <w:rsid w:val="000A4432"/>
    <w:rsid w:val="000A4BC1"/>
    <w:rsid w:val="00103686"/>
    <w:rsid w:val="0012542D"/>
    <w:rsid w:val="001407E3"/>
    <w:rsid w:val="001478C5"/>
    <w:rsid w:val="001510FB"/>
    <w:rsid w:val="001720F2"/>
    <w:rsid w:val="001A1570"/>
    <w:rsid w:val="001A4E68"/>
    <w:rsid w:val="001B13EB"/>
    <w:rsid w:val="00220A88"/>
    <w:rsid w:val="00241E6D"/>
    <w:rsid w:val="002473A3"/>
    <w:rsid w:val="00252E7E"/>
    <w:rsid w:val="002571B9"/>
    <w:rsid w:val="00260872"/>
    <w:rsid w:val="00274FF5"/>
    <w:rsid w:val="002E4966"/>
    <w:rsid w:val="0033164A"/>
    <w:rsid w:val="00395D8D"/>
    <w:rsid w:val="003A5B9D"/>
    <w:rsid w:val="003C68FA"/>
    <w:rsid w:val="003F0A0C"/>
    <w:rsid w:val="004151F2"/>
    <w:rsid w:val="0041713B"/>
    <w:rsid w:val="0042053C"/>
    <w:rsid w:val="00432E0E"/>
    <w:rsid w:val="00450A56"/>
    <w:rsid w:val="00454E3B"/>
    <w:rsid w:val="00485614"/>
    <w:rsid w:val="00492750"/>
    <w:rsid w:val="004E707D"/>
    <w:rsid w:val="00516D3E"/>
    <w:rsid w:val="005324D2"/>
    <w:rsid w:val="00540C2B"/>
    <w:rsid w:val="005623A1"/>
    <w:rsid w:val="00570448"/>
    <w:rsid w:val="00571F3A"/>
    <w:rsid w:val="005804D7"/>
    <w:rsid w:val="005B0C03"/>
    <w:rsid w:val="005E1D0B"/>
    <w:rsid w:val="005F6C0F"/>
    <w:rsid w:val="00613FBC"/>
    <w:rsid w:val="0064653C"/>
    <w:rsid w:val="00671851"/>
    <w:rsid w:val="00673D7A"/>
    <w:rsid w:val="006C2A16"/>
    <w:rsid w:val="006F6DF5"/>
    <w:rsid w:val="00705814"/>
    <w:rsid w:val="007528F2"/>
    <w:rsid w:val="00774DA0"/>
    <w:rsid w:val="007871A0"/>
    <w:rsid w:val="007B3451"/>
    <w:rsid w:val="007C5B2B"/>
    <w:rsid w:val="007D1B02"/>
    <w:rsid w:val="00807E98"/>
    <w:rsid w:val="008309FE"/>
    <w:rsid w:val="008F3945"/>
    <w:rsid w:val="00906190"/>
    <w:rsid w:val="00921654"/>
    <w:rsid w:val="009479E0"/>
    <w:rsid w:val="009735EA"/>
    <w:rsid w:val="00980919"/>
    <w:rsid w:val="009D31E9"/>
    <w:rsid w:val="00A70259"/>
    <w:rsid w:val="00AB6E02"/>
    <w:rsid w:val="00B227D6"/>
    <w:rsid w:val="00B363AE"/>
    <w:rsid w:val="00BB16B6"/>
    <w:rsid w:val="00C15A78"/>
    <w:rsid w:val="00C2259E"/>
    <w:rsid w:val="00C348D9"/>
    <w:rsid w:val="00CB6D7C"/>
    <w:rsid w:val="00CC3FA8"/>
    <w:rsid w:val="00CF056D"/>
    <w:rsid w:val="00D22BB1"/>
    <w:rsid w:val="00D66DAA"/>
    <w:rsid w:val="00D8366E"/>
    <w:rsid w:val="00D908C4"/>
    <w:rsid w:val="00D972CF"/>
    <w:rsid w:val="00DA1CE3"/>
    <w:rsid w:val="00DB716A"/>
    <w:rsid w:val="00DD5480"/>
    <w:rsid w:val="00E069DC"/>
    <w:rsid w:val="00E66648"/>
    <w:rsid w:val="00E72F77"/>
    <w:rsid w:val="00E7432D"/>
    <w:rsid w:val="00E77637"/>
    <w:rsid w:val="00E93383"/>
    <w:rsid w:val="00EC10E8"/>
    <w:rsid w:val="00EF19FB"/>
    <w:rsid w:val="00F03360"/>
    <w:rsid w:val="00F6179F"/>
    <w:rsid w:val="00F66EA8"/>
    <w:rsid w:val="00F92E11"/>
    <w:rsid w:val="00FC3984"/>
    <w:rsid w:val="00FD1D2C"/>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8994">
      <w:bodyDiv w:val="1"/>
      <w:marLeft w:val="0"/>
      <w:marRight w:val="0"/>
      <w:marTop w:val="0"/>
      <w:marBottom w:val="0"/>
      <w:divBdr>
        <w:top w:val="none" w:sz="0" w:space="0" w:color="auto"/>
        <w:left w:val="none" w:sz="0" w:space="0" w:color="auto"/>
        <w:bottom w:val="none" w:sz="0" w:space="0" w:color="auto"/>
        <w:right w:val="none" w:sz="0" w:space="0" w:color="auto"/>
      </w:divBdr>
    </w:div>
    <w:div w:id="337848036">
      <w:bodyDiv w:val="1"/>
      <w:marLeft w:val="0"/>
      <w:marRight w:val="0"/>
      <w:marTop w:val="0"/>
      <w:marBottom w:val="0"/>
      <w:divBdr>
        <w:top w:val="none" w:sz="0" w:space="0" w:color="auto"/>
        <w:left w:val="none" w:sz="0" w:space="0" w:color="auto"/>
        <w:bottom w:val="none" w:sz="0" w:space="0" w:color="auto"/>
        <w:right w:val="none" w:sz="0" w:space="0" w:color="auto"/>
      </w:divBdr>
    </w:div>
    <w:div w:id="960958575">
      <w:bodyDiv w:val="1"/>
      <w:marLeft w:val="0"/>
      <w:marRight w:val="0"/>
      <w:marTop w:val="0"/>
      <w:marBottom w:val="0"/>
      <w:divBdr>
        <w:top w:val="none" w:sz="0" w:space="0" w:color="auto"/>
        <w:left w:val="none" w:sz="0" w:space="0" w:color="auto"/>
        <w:bottom w:val="none" w:sz="0" w:space="0" w:color="auto"/>
        <w:right w:val="none" w:sz="0" w:space="0" w:color="auto"/>
      </w:divBdr>
      <w:divsChild>
        <w:div w:id="1308514664">
          <w:marLeft w:val="0"/>
          <w:marRight w:val="0"/>
          <w:marTop w:val="0"/>
          <w:marBottom w:val="0"/>
          <w:divBdr>
            <w:top w:val="none" w:sz="0" w:space="0" w:color="auto"/>
            <w:left w:val="none" w:sz="0" w:space="0" w:color="auto"/>
            <w:bottom w:val="none" w:sz="0" w:space="0" w:color="auto"/>
            <w:right w:val="none" w:sz="0" w:space="0" w:color="auto"/>
          </w:divBdr>
          <w:divsChild>
            <w:div w:id="407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CI.com" TargetMode="Externa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3061</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67</cp:revision>
  <dcterms:created xsi:type="dcterms:W3CDTF">2022-11-23T07:47:00Z</dcterms:created>
  <dcterms:modified xsi:type="dcterms:W3CDTF">2025-04-01T16:42:00Z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