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41CC" w14:textId="77777777" w:rsidR="009275F5" w:rsidRDefault="00BC2B5C">
      <w:pPr>
        <w:spacing w:before="44" w:line="246" w:lineRule="exact"/>
        <w:textAlignment w:val="baseline"/>
        <w:rPr>
          <w:rFonts w:ascii="Calibri" w:eastAsia="Calibri" w:hAnsi="Calibri"/>
          <w:b/>
          <w:color w:val="004F9F"/>
          <w:sz w:val="24"/>
        </w:rPr>
      </w:pPr>
      <w:r>
        <w:rPr>
          <w:rFonts w:ascii="Calibri" w:eastAsia="Calibri" w:hAnsi="Calibri"/>
          <w:b/>
          <w:color w:val="004F9F"/>
          <w:sz w:val="24"/>
        </w:rPr>
        <w:t>Website Product Disclosures further to art. 10(1) of the Sustainable Finance Disclosure Regulation for art. 9</w:t>
      </w:r>
    </w:p>
    <w:p w14:paraId="7AB5DD0A" w14:textId="77777777" w:rsidR="009275F5" w:rsidRDefault="00BC2B5C">
      <w:pPr>
        <w:spacing w:before="71" w:line="245" w:lineRule="exact"/>
        <w:jc w:val="center"/>
        <w:textAlignment w:val="baseline"/>
        <w:rPr>
          <w:rFonts w:ascii="Calibri" w:eastAsia="Calibri" w:hAnsi="Calibri"/>
          <w:b/>
          <w:color w:val="004F9F"/>
          <w:sz w:val="24"/>
        </w:rPr>
      </w:pPr>
      <w:r>
        <w:rPr>
          <w:rFonts w:ascii="Calibri" w:eastAsia="Calibri" w:hAnsi="Calibri"/>
          <w:b/>
          <w:color w:val="004F9F"/>
          <w:sz w:val="24"/>
        </w:rPr>
        <w:t>financial products</w:t>
      </w:r>
    </w:p>
    <w:p w14:paraId="2DEDAFBC" w14:textId="77777777" w:rsidR="009275F5" w:rsidRDefault="00BC2B5C">
      <w:pPr>
        <w:tabs>
          <w:tab w:val="left" w:pos="7344"/>
        </w:tabs>
        <w:spacing w:before="702" w:line="234" w:lineRule="exact"/>
        <w:textAlignment w:val="baseline"/>
        <w:rPr>
          <w:rFonts w:ascii="Calibri" w:eastAsia="Calibri" w:hAnsi="Calibri"/>
          <w:b/>
          <w:color w:val="000000"/>
          <w:spacing w:val="-3"/>
          <w:sz w:val="23"/>
        </w:rPr>
      </w:pPr>
      <w:r>
        <w:rPr>
          <w:rFonts w:ascii="Calibri" w:eastAsia="Calibri" w:hAnsi="Calibri"/>
          <w:b/>
          <w:color w:val="000000"/>
          <w:spacing w:val="-3"/>
          <w:sz w:val="23"/>
        </w:rPr>
        <w:t>Name</w:t>
      </w:r>
      <w:r>
        <w:rPr>
          <w:rFonts w:ascii="Calibri" w:eastAsia="Calibri" w:hAnsi="Calibri"/>
          <w:color w:val="000000"/>
          <w:spacing w:val="-3"/>
        </w:rPr>
        <w:t>:</w:t>
      </w:r>
      <w:r>
        <w:rPr>
          <w:rFonts w:ascii="Calibri" w:eastAsia="Calibri" w:hAnsi="Calibri"/>
          <w:color w:val="000000"/>
          <w:spacing w:val="-3"/>
        </w:rPr>
        <w:tab/>
      </w:r>
      <w:r>
        <w:rPr>
          <w:rFonts w:ascii="Calibri" w:eastAsia="Calibri" w:hAnsi="Calibri"/>
          <w:b/>
          <w:color w:val="000000"/>
          <w:spacing w:val="-3"/>
          <w:sz w:val="23"/>
        </w:rPr>
        <w:t>Legal entity identifier</w:t>
      </w:r>
      <w:r>
        <w:rPr>
          <w:rFonts w:ascii="Calibri" w:eastAsia="Calibri" w:hAnsi="Calibri"/>
          <w:color w:val="000000"/>
          <w:spacing w:val="-3"/>
        </w:rPr>
        <w:t>:</w:t>
      </w:r>
    </w:p>
    <w:p w14:paraId="127B96BE" w14:textId="77777777" w:rsidR="009275F5" w:rsidRDefault="00BC2B5C">
      <w:pPr>
        <w:tabs>
          <w:tab w:val="left" w:pos="7272"/>
        </w:tabs>
        <w:spacing w:before="40" w:line="220" w:lineRule="exact"/>
        <w:textAlignment w:val="baseline"/>
        <w:rPr>
          <w:rFonts w:ascii="Calibri" w:eastAsia="Calibri" w:hAnsi="Calibri"/>
          <w:color w:val="000000"/>
        </w:rPr>
      </w:pPr>
      <w:r>
        <w:rPr>
          <w:rFonts w:ascii="Calibri" w:eastAsia="Calibri" w:hAnsi="Calibri"/>
          <w:color w:val="000000"/>
        </w:rPr>
        <w:t>Amundi Euro Government Green Bond</w:t>
      </w:r>
      <w:r>
        <w:rPr>
          <w:rFonts w:ascii="Calibri" w:eastAsia="Calibri" w:hAnsi="Calibri"/>
          <w:color w:val="000000"/>
        </w:rPr>
        <w:tab/>
        <w:t>549300JJ88530HI0FM17</w:t>
      </w:r>
    </w:p>
    <w:p w14:paraId="2A52A987" w14:textId="77777777" w:rsidR="009275F5" w:rsidRDefault="00BC2B5C">
      <w:pPr>
        <w:spacing w:before="963" w:line="256" w:lineRule="exact"/>
        <w:ind w:left="864"/>
        <w:textAlignment w:val="baseline"/>
        <w:rPr>
          <w:rFonts w:ascii="Tahoma" w:eastAsia="Tahoma" w:hAnsi="Tahoma"/>
          <w:color w:val="000000"/>
          <w:spacing w:val="11"/>
          <w:sz w:val="21"/>
        </w:rPr>
      </w:pPr>
      <w:r>
        <w:rPr>
          <w:rFonts w:ascii="Tahoma" w:eastAsia="Tahoma" w:hAnsi="Tahoma"/>
          <w:color w:val="000000"/>
          <w:spacing w:val="11"/>
          <w:sz w:val="21"/>
        </w:rPr>
        <w:t>No significant harm to the sustainable investment objective</w:t>
      </w:r>
    </w:p>
    <w:p w14:paraId="403E63DA" w14:textId="77777777" w:rsidR="009275F5" w:rsidRDefault="00BC2B5C">
      <w:pPr>
        <w:spacing w:before="522" w:line="222" w:lineRule="exact"/>
        <w:ind w:left="864"/>
        <w:textAlignment w:val="baseline"/>
        <w:rPr>
          <w:rFonts w:ascii="Calibri" w:eastAsia="Calibri" w:hAnsi="Calibri"/>
          <w:color w:val="000000"/>
        </w:rPr>
      </w:pPr>
      <w:r>
        <w:rPr>
          <w:rFonts w:ascii="Calibri" w:eastAsia="Calibri" w:hAnsi="Calibri"/>
          <w:color w:val="000000"/>
        </w:rPr>
        <w:t>To ensure sustainable investments do no significant harm (‘DNSH’), Amundi utilizes two filters:</w:t>
      </w:r>
    </w:p>
    <w:p w14:paraId="34898ACC" w14:textId="77777777" w:rsidR="009275F5" w:rsidRDefault="00BC2B5C">
      <w:pPr>
        <w:numPr>
          <w:ilvl w:val="0"/>
          <w:numId w:val="1"/>
        </w:numPr>
        <w:tabs>
          <w:tab w:val="clear" w:pos="360"/>
          <w:tab w:val="left" w:pos="1584"/>
        </w:tabs>
        <w:spacing w:before="177" w:line="289" w:lineRule="exact"/>
        <w:ind w:left="1584" w:right="864" w:hanging="360"/>
        <w:jc w:val="both"/>
        <w:textAlignment w:val="baseline"/>
        <w:rPr>
          <w:rFonts w:ascii="Calibri" w:eastAsia="Calibri" w:hAnsi="Calibri"/>
          <w:color w:val="000000"/>
        </w:rPr>
      </w:pPr>
      <w:r>
        <w:rPr>
          <w:rFonts w:ascii="Calibri" w:eastAsia="Calibri" w:hAnsi="Calibri"/>
          <w:color w:val="000000"/>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B9E7D77" w14:textId="77777777" w:rsidR="009275F5" w:rsidRDefault="00BC2B5C">
      <w:pPr>
        <w:spacing w:before="1" w:line="289" w:lineRule="exact"/>
        <w:ind w:left="1584" w:right="864"/>
        <w:jc w:val="both"/>
        <w:textAlignment w:val="baseline"/>
        <w:rPr>
          <w:rFonts w:ascii="Calibri" w:eastAsia="Calibri" w:hAnsi="Calibri"/>
          <w:color w:val="000000"/>
        </w:rPr>
      </w:pPr>
      <w:r>
        <w:rPr>
          <w:rFonts w:ascii="Calibri" w:eastAsia="Calibri" w:hAnsi="Calibri"/>
          <w:color w:val="000000"/>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2A401167" w14:textId="77777777" w:rsidR="009275F5" w:rsidRDefault="00BC2B5C">
      <w:pPr>
        <w:numPr>
          <w:ilvl w:val="0"/>
          <w:numId w:val="1"/>
        </w:numPr>
        <w:tabs>
          <w:tab w:val="clear" w:pos="360"/>
          <w:tab w:val="left" w:pos="1584"/>
        </w:tabs>
        <w:spacing w:before="18" w:line="289" w:lineRule="exact"/>
        <w:ind w:left="1584" w:right="864" w:hanging="360"/>
        <w:jc w:val="both"/>
        <w:textAlignment w:val="baseline"/>
        <w:rPr>
          <w:rFonts w:ascii="Calibri" w:eastAsia="Calibri" w:hAnsi="Calibri"/>
          <w:color w:val="000000"/>
        </w:rPr>
      </w:pPr>
      <w:r>
        <w:rPr>
          <w:rFonts w:ascii="Calibri" w:eastAsia="Calibri" w:hAnsi="Calibri"/>
          <w:color w:val="000000"/>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Pr>
          <w:rFonts w:ascii="Calibri" w:eastAsia="Calibri" w:hAnsi="Calibri"/>
          <w:color w:val="000000"/>
        </w:rPr>
        <w:t>E</w:t>
      </w:r>
      <w:proofErr w:type="spellEnd"/>
      <w:r>
        <w:rPr>
          <w:rFonts w:ascii="Calibri" w:eastAsia="Calibri" w:hAnsi="Calibri"/>
          <w:color w:val="000000"/>
        </w:rPr>
        <w:t xml:space="preserve"> using Amundi’s ESG rating.</w:t>
      </w:r>
    </w:p>
    <w:p w14:paraId="76E867B8" w14:textId="77777777" w:rsidR="009275F5" w:rsidRDefault="00BC2B5C">
      <w:pPr>
        <w:spacing w:before="742" w:line="289" w:lineRule="exact"/>
        <w:ind w:left="864" w:right="864"/>
        <w:jc w:val="both"/>
        <w:textAlignment w:val="baseline"/>
        <w:rPr>
          <w:rFonts w:ascii="Calibri" w:eastAsia="Calibri" w:hAnsi="Calibri"/>
          <w:color w:val="000000"/>
        </w:rPr>
      </w:pPr>
      <w:r>
        <w:rPr>
          <w:rFonts w:ascii="Calibri" w:eastAsia="Calibri" w:hAnsi="Calibri"/>
          <w:color w:val="000000"/>
        </w:rPr>
        <w:t>The indicators for adverse impacts have been taken into account as detailed in the first do not significant harm (DNSH) filter.</w:t>
      </w:r>
    </w:p>
    <w:p w14:paraId="4CDFECBD" w14:textId="77777777" w:rsidR="009275F5" w:rsidRDefault="00BC2B5C">
      <w:pPr>
        <w:spacing w:before="173" w:line="289" w:lineRule="exact"/>
        <w:ind w:left="864" w:right="864"/>
        <w:jc w:val="both"/>
        <w:textAlignment w:val="baseline"/>
        <w:rPr>
          <w:rFonts w:ascii="Calibri" w:eastAsia="Calibri" w:hAnsi="Calibri"/>
          <w:color w:val="000000"/>
        </w:rPr>
      </w:pPr>
      <w:r>
        <w:rPr>
          <w:rFonts w:ascii="Calibri" w:eastAsia="Calibri" w:hAnsi="Calibri"/>
          <w:color w:val="000000"/>
        </w:rPr>
        <w:t>The first DNSH filter relies on monitoring of mandatory Principal Adverse Impacts indicators in Annex 1, Table 1 of the RTS where robust data is available via the combination of following indicators and specific thresholds or rules</w:t>
      </w:r>
      <w:r>
        <w:rPr>
          <w:rFonts w:ascii="Calibri" w:eastAsia="Calibri" w:hAnsi="Calibri"/>
          <w:color w:val="000000"/>
          <w:sz w:val="19"/>
        </w:rPr>
        <w:t>:</w:t>
      </w:r>
    </w:p>
    <w:p w14:paraId="4589E1E8" w14:textId="77777777" w:rsidR="009275F5" w:rsidRDefault="00BC2B5C">
      <w:pPr>
        <w:numPr>
          <w:ilvl w:val="0"/>
          <w:numId w:val="1"/>
        </w:numPr>
        <w:tabs>
          <w:tab w:val="clear" w:pos="360"/>
          <w:tab w:val="left" w:pos="1584"/>
        </w:tabs>
        <w:spacing w:before="163" w:line="289" w:lineRule="exact"/>
        <w:ind w:left="1584" w:right="864" w:hanging="360"/>
        <w:jc w:val="both"/>
        <w:textAlignment w:val="baseline"/>
        <w:rPr>
          <w:rFonts w:ascii="Calibri" w:eastAsia="Calibri" w:hAnsi="Calibri"/>
          <w:color w:val="000000"/>
        </w:rPr>
      </w:pPr>
      <w:r>
        <w:rPr>
          <w:rFonts w:ascii="Calibri" w:eastAsia="Calibri" w:hAnsi="Calibri"/>
          <w:color w:val="000000"/>
        </w:rPr>
        <w:t>Have a CO</w:t>
      </w:r>
      <w:r>
        <w:rPr>
          <w:rFonts w:ascii="Calibri" w:eastAsia="Calibri" w:hAnsi="Calibri"/>
          <w:color w:val="000000"/>
          <w:sz w:val="14"/>
        </w:rPr>
        <w:t xml:space="preserve">2 </w:t>
      </w:r>
      <w:r>
        <w:rPr>
          <w:rFonts w:ascii="Calibri" w:eastAsia="Calibri" w:hAnsi="Calibri"/>
          <w:color w:val="000000"/>
        </w:rPr>
        <w:t>intensity which does not belong to the last decile compared to other companies within its sector (only applies to high intensity sectors), and</w:t>
      </w:r>
    </w:p>
    <w:p w14:paraId="55AC538D" w14:textId="77777777" w:rsidR="009275F5" w:rsidRDefault="00BC2B5C">
      <w:pPr>
        <w:numPr>
          <w:ilvl w:val="0"/>
          <w:numId w:val="1"/>
        </w:numPr>
        <w:tabs>
          <w:tab w:val="clear" w:pos="360"/>
          <w:tab w:val="left" w:pos="1584"/>
        </w:tabs>
        <w:spacing w:before="12" w:line="289" w:lineRule="exact"/>
        <w:ind w:left="1584" w:right="864" w:hanging="360"/>
        <w:jc w:val="both"/>
        <w:textAlignment w:val="baseline"/>
        <w:rPr>
          <w:rFonts w:ascii="Calibri" w:eastAsia="Calibri" w:hAnsi="Calibri"/>
          <w:color w:val="000000"/>
        </w:rPr>
      </w:pPr>
      <w:r>
        <w:rPr>
          <w:rFonts w:ascii="Calibri" w:eastAsia="Calibri" w:hAnsi="Calibri"/>
          <w:color w:val="000000"/>
        </w:rPr>
        <w:t>Have a Board of Directors’ diversity which does not belong to the last decile compared to other companies within its sector, and</w:t>
      </w:r>
    </w:p>
    <w:p w14:paraId="4F0E32FF" w14:textId="77777777" w:rsidR="009275F5" w:rsidRDefault="00BC2B5C">
      <w:pPr>
        <w:numPr>
          <w:ilvl w:val="0"/>
          <w:numId w:val="1"/>
        </w:numPr>
        <w:tabs>
          <w:tab w:val="clear" w:pos="360"/>
          <w:tab w:val="left" w:pos="1584"/>
        </w:tabs>
        <w:spacing w:before="69" w:line="234" w:lineRule="exact"/>
        <w:ind w:left="1584" w:hanging="360"/>
        <w:jc w:val="both"/>
        <w:textAlignment w:val="baseline"/>
        <w:rPr>
          <w:rFonts w:ascii="Calibri" w:eastAsia="Calibri" w:hAnsi="Calibri"/>
          <w:color w:val="000000"/>
        </w:rPr>
      </w:pPr>
      <w:r>
        <w:rPr>
          <w:rFonts w:ascii="Calibri" w:eastAsia="Calibri" w:hAnsi="Calibri"/>
          <w:color w:val="000000"/>
        </w:rPr>
        <w:t>Be cleared of any controversy in relation to work conditions and human rights and</w:t>
      </w:r>
    </w:p>
    <w:p w14:paraId="6EC73441" w14:textId="77777777" w:rsidR="009275F5" w:rsidRDefault="00BC2B5C">
      <w:pPr>
        <w:numPr>
          <w:ilvl w:val="0"/>
          <w:numId w:val="1"/>
        </w:numPr>
        <w:tabs>
          <w:tab w:val="clear" w:pos="360"/>
          <w:tab w:val="left" w:pos="1584"/>
        </w:tabs>
        <w:spacing w:before="69" w:line="233" w:lineRule="exact"/>
        <w:ind w:left="1584" w:hanging="360"/>
        <w:jc w:val="both"/>
        <w:textAlignment w:val="baseline"/>
        <w:rPr>
          <w:rFonts w:ascii="Calibri" w:eastAsia="Calibri" w:hAnsi="Calibri"/>
          <w:color w:val="000000"/>
        </w:rPr>
      </w:pPr>
      <w:r>
        <w:rPr>
          <w:rFonts w:ascii="Calibri" w:eastAsia="Calibri" w:hAnsi="Calibri"/>
          <w:color w:val="000000"/>
        </w:rPr>
        <w:t>Be cleared of any controversy in relation to biodiversity and pollution.</w:t>
      </w:r>
    </w:p>
    <w:p w14:paraId="6B2C96B9" w14:textId="77777777" w:rsidR="009275F5" w:rsidRDefault="00BC2B5C">
      <w:pPr>
        <w:spacing w:before="608" w:line="289" w:lineRule="exact"/>
        <w:ind w:left="864" w:right="864"/>
        <w:jc w:val="both"/>
        <w:textAlignment w:val="baseline"/>
        <w:rPr>
          <w:rFonts w:ascii="Calibri" w:eastAsia="Calibri" w:hAnsi="Calibri"/>
          <w:color w:val="000000"/>
        </w:rPr>
      </w:pPr>
      <w:r>
        <w:rPr>
          <w:rFonts w:ascii="Calibri" w:eastAsia="Calibri" w:hAnsi="Calibri"/>
          <w:color w:val="000000"/>
        </w:rPr>
        <w:t>Sustainable investments are aligned with the OECD Guidelines for Multinational Enterprises and the UN Guiding Principles and Human Rights. The OECD Guidelines for Multinational Enterprises and the</w:t>
      </w:r>
    </w:p>
    <w:p w14:paraId="289F33D1" w14:textId="77777777" w:rsidR="009275F5" w:rsidRDefault="009275F5">
      <w:pPr>
        <w:sectPr w:rsidR="009275F5">
          <w:pgSz w:w="11904" w:h="16843"/>
          <w:pgMar w:top="1400" w:right="533" w:bottom="1247" w:left="571" w:header="720" w:footer="720" w:gutter="0"/>
          <w:cols w:space="720"/>
        </w:sectPr>
      </w:pPr>
    </w:p>
    <w:p w14:paraId="7E938F18" w14:textId="77777777" w:rsidR="009275F5" w:rsidRDefault="00BC2B5C">
      <w:pPr>
        <w:spacing w:before="23" w:line="289" w:lineRule="exact"/>
        <w:jc w:val="both"/>
        <w:textAlignment w:val="baseline"/>
        <w:rPr>
          <w:rFonts w:ascii="Calibri" w:eastAsia="Calibri" w:hAnsi="Calibri"/>
          <w:color w:val="000000"/>
          <w:spacing w:val="-1"/>
        </w:rPr>
      </w:pPr>
      <w:r>
        <w:rPr>
          <w:rFonts w:ascii="Calibri" w:eastAsia="Calibri" w:hAnsi="Calibri"/>
          <w:color w:val="000000"/>
          <w:spacing w:val="-1"/>
        </w:rPr>
        <w:lastRenderedPageBreak/>
        <w:t>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w:t>
      </w:r>
      <w:r>
        <w:rPr>
          <w:rFonts w:ascii="Calibri" w:eastAsia="Calibri" w:hAnsi="Calibri"/>
          <w:color w:val="000000"/>
          <w:spacing w:val="-1"/>
        </w:rPr>
        <w:t>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7DE5986E" w14:textId="77777777" w:rsidR="009275F5" w:rsidRDefault="00BC2B5C">
      <w:pPr>
        <w:spacing w:before="689" w:line="257" w:lineRule="exact"/>
        <w:textAlignment w:val="baseline"/>
        <w:rPr>
          <w:rFonts w:ascii="Tahoma" w:eastAsia="Tahoma" w:hAnsi="Tahoma"/>
          <w:color w:val="000000"/>
          <w:spacing w:val="12"/>
          <w:sz w:val="21"/>
        </w:rPr>
      </w:pPr>
      <w:r>
        <w:rPr>
          <w:rFonts w:ascii="Tahoma" w:eastAsia="Tahoma" w:hAnsi="Tahoma"/>
          <w:color w:val="000000"/>
          <w:spacing w:val="12"/>
          <w:sz w:val="21"/>
        </w:rPr>
        <w:t>Sustainable investment objective of the financial product</w:t>
      </w:r>
    </w:p>
    <w:p w14:paraId="6C15B8F5" w14:textId="77777777" w:rsidR="009275F5" w:rsidRDefault="00BC2B5C">
      <w:pPr>
        <w:spacing w:before="485" w:line="288" w:lineRule="exact"/>
        <w:jc w:val="both"/>
        <w:textAlignment w:val="baseline"/>
        <w:rPr>
          <w:rFonts w:ascii="Calibri" w:eastAsia="Calibri" w:hAnsi="Calibri"/>
          <w:color w:val="000000"/>
          <w:spacing w:val="-1"/>
        </w:rPr>
      </w:pPr>
      <w:r>
        <w:rPr>
          <w:rFonts w:ascii="Calibri" w:eastAsia="Calibri" w:hAnsi="Calibri"/>
          <w:color w:val="000000"/>
          <w:spacing w:val="-1"/>
        </w:rPr>
        <w:t xml:space="preserve">The sub-fund is passively managed. Its investment objective is to replicate the </w:t>
      </w:r>
      <w:proofErr w:type="spellStart"/>
      <w:r>
        <w:rPr>
          <w:rFonts w:ascii="Calibri" w:eastAsia="Calibri" w:hAnsi="Calibri"/>
          <w:color w:val="000000"/>
          <w:spacing w:val="-1"/>
        </w:rPr>
        <w:t>Solactive</w:t>
      </w:r>
      <w:proofErr w:type="spellEnd"/>
      <w:r>
        <w:rPr>
          <w:rFonts w:ascii="Calibri" w:eastAsia="Calibri" w:hAnsi="Calibri"/>
          <w:color w:val="000000"/>
          <w:spacing w:val="-1"/>
        </w:rPr>
        <w:t xml:space="preserve"> Euro Government Green Bond Index (the “Index”) which has the sustainable investment objective of being representative of the performance of investment grade rated Green Bonds issued by European Monetary Union countries. Green Bonds are issued in order to fund projects that have positive environmental outcomes. More precisely, to be eligible for inclusion in the Index, a bond must be considered as a “Green Bond” by the Climate Bonds Initiative. Climate Bonds Initiative is an investor-focused not-fo</w:t>
      </w:r>
      <w:r>
        <w:rPr>
          <w:rFonts w:ascii="Calibri" w:eastAsia="Calibri" w:hAnsi="Calibri"/>
          <w:color w:val="000000"/>
          <w:spacing w:val="-1"/>
        </w:rPr>
        <w:t xml:space="preserve">r-profit organization promoting large-scale investments that will deliver a global low carbon and climate resilient economy (more information is available on the website: </w:t>
      </w:r>
      <w:hyperlink r:id="rId7">
        <w:r>
          <w:rPr>
            <w:rFonts w:ascii="Calibri" w:eastAsia="Calibri" w:hAnsi="Calibri"/>
            <w:color w:val="0000FF"/>
            <w:spacing w:val="-1"/>
            <w:u w:val="single"/>
          </w:rPr>
          <w:t>http://www.climatebonds.net/)</w:t>
        </w:r>
      </w:hyperlink>
      <w:r>
        <w:rPr>
          <w:rFonts w:ascii="Calibri" w:eastAsia="Calibri" w:hAnsi="Calibri"/>
          <w:color w:val="000000"/>
          <w:spacing w:val="-1"/>
        </w:rPr>
        <w:t xml:space="preserve">. Climate Bonds Initiative has developed and implemented the following set of criteria to define Green Bonds which are eligible for the Index: </w:t>
      </w:r>
      <w:proofErr w:type="spellStart"/>
      <w:r>
        <w:rPr>
          <w:rFonts w:ascii="Calibri" w:eastAsia="Calibri" w:hAnsi="Calibri"/>
          <w:color w:val="000000"/>
          <w:spacing w:val="-1"/>
        </w:rPr>
        <w:t>i</w:t>
      </w:r>
      <w:proofErr w:type="spellEnd"/>
      <w:r>
        <w:rPr>
          <w:rFonts w:ascii="Calibri" w:eastAsia="Calibri" w:hAnsi="Calibri"/>
          <w:color w:val="000000"/>
          <w:spacing w:val="-1"/>
        </w:rPr>
        <w:t>) Environmentally themed (self-labelled) bonds: to be eligible, green bonds must be publicly declared by their issuers as intended to be environmentally beneficial through labelling. Common eligible labels include, but are not limited to, ‘green’, ‘climate-awareness’, ‘climate’, ‘environmental’, ‘carbon’, ‘sustainability’ and ‘ESG’ (Environment, Social, and Governan</w:t>
      </w:r>
      <w:r>
        <w:rPr>
          <w:rFonts w:ascii="Calibri" w:eastAsia="Calibri" w:hAnsi="Calibri"/>
          <w:color w:val="000000"/>
          <w:spacing w:val="-1"/>
        </w:rPr>
        <w:t>ce). The issuer must use the label or description in a public document for the label to be valid (e.g., in a press release, in a statement, in the bond prospectus or supporting bond offering documents). ii) Eligible bond structures, which include: - Asset-linked structures or ‘use of proceeds’ bonds, whereby proceeds raised by bond sale are earmarked for eligible green projects; and - Asset-backed structures consisting in: a. Project bonds, which are eligible if they are backed by a green project and the pr</w:t>
      </w:r>
      <w:r>
        <w:rPr>
          <w:rFonts w:ascii="Calibri" w:eastAsia="Calibri" w:hAnsi="Calibri"/>
          <w:color w:val="000000"/>
          <w:spacing w:val="-1"/>
        </w:rPr>
        <w:t>oceeds from bond sale are used solely to finance that same green project; and b. Securitized bonds, which are eligible if proceeds go towards green projects or assets. iii) Use of proceeds: issuers must commit to use proceeds from the bond sale in full (net of any bond arrangement fees) to finance eligible green projects or assets. For instance, bonds where more than 5% of the proceeds are used for ‘general corporate purposes’ or projects that are not defined as green, or bonds where proceeds are to be spli</w:t>
      </w:r>
      <w:r>
        <w:rPr>
          <w:rFonts w:ascii="Calibri" w:eastAsia="Calibri" w:hAnsi="Calibri"/>
          <w:color w:val="000000"/>
          <w:spacing w:val="-1"/>
        </w:rPr>
        <w:t>t across different projects (e.g., an ESG Bond with social projects and separate green projects) are not eligible for inclusion in the Index. iv) Adherence with the “Climate Bonds Taxonomy”: proceeds of an eligible green bond must be used to finance eligible green assets or projects which are typically related to one of the following sectors (as described in the Climate Bonds Taxonomy): - Renewable and Alternative Energy; - Energy efficiency; - Low-Carbon Transport; - Sustainable Water; - Waste, recycling a</w:t>
      </w:r>
      <w:r>
        <w:rPr>
          <w:rFonts w:ascii="Calibri" w:eastAsia="Calibri" w:hAnsi="Calibri"/>
          <w:color w:val="000000"/>
          <w:spacing w:val="-1"/>
        </w:rPr>
        <w:t>nd pollution; - Sustainable agriculture and forestry; - Climate resilient infrastructure and climate adaptation. As further described in the Climate Bonds Taxonomy, areas of the above sectors can be excluded (e.g. energy savings in fossil fuel extraction activities - for the energy efficiency category -, or the landfill without gas capture - for the waste category -) and related bonds are ineligible for inclusion in the Index.</w:t>
      </w:r>
    </w:p>
    <w:p w14:paraId="186578BB" w14:textId="77777777" w:rsidR="009275F5" w:rsidRDefault="009275F5">
      <w:pPr>
        <w:sectPr w:rsidR="009275F5">
          <w:pgSz w:w="11904" w:h="16843"/>
          <w:pgMar w:top="1360" w:right="1408" w:bottom="1487" w:left="1416" w:header="720" w:footer="720" w:gutter="0"/>
          <w:cols w:space="720"/>
        </w:sectPr>
      </w:pPr>
    </w:p>
    <w:p w14:paraId="07D55CCD" w14:textId="77777777" w:rsidR="009275F5" w:rsidRDefault="00BC2B5C">
      <w:pPr>
        <w:spacing w:line="254" w:lineRule="exact"/>
        <w:textAlignment w:val="baseline"/>
        <w:rPr>
          <w:rFonts w:ascii="Tahoma" w:eastAsia="Tahoma" w:hAnsi="Tahoma"/>
          <w:color w:val="000000"/>
          <w:spacing w:val="10"/>
          <w:sz w:val="21"/>
        </w:rPr>
      </w:pPr>
      <w:r>
        <w:rPr>
          <w:rFonts w:ascii="Tahoma" w:eastAsia="Tahoma" w:hAnsi="Tahoma"/>
          <w:color w:val="000000"/>
          <w:spacing w:val="10"/>
          <w:sz w:val="21"/>
        </w:rPr>
        <w:lastRenderedPageBreak/>
        <w:t>Investment strategy</w:t>
      </w:r>
    </w:p>
    <w:p w14:paraId="1F55E729" w14:textId="77777777" w:rsidR="009275F5" w:rsidRDefault="00BC2B5C">
      <w:pPr>
        <w:spacing w:before="453" w:line="290" w:lineRule="exact"/>
        <w:jc w:val="both"/>
        <w:textAlignment w:val="baseline"/>
        <w:rPr>
          <w:rFonts w:ascii="Calibri" w:eastAsia="Calibri" w:hAnsi="Calibri"/>
          <w:color w:val="000000"/>
        </w:rPr>
      </w:pPr>
      <w:r>
        <w:rPr>
          <w:rFonts w:ascii="Calibri" w:eastAsia="Calibri" w:hAnsi="Calibri"/>
          <w:color w:val="000000"/>
        </w:rPr>
        <w:t>The investment objective of the Sub-Fundis to reflect the performance of the “</w:t>
      </w:r>
      <w:proofErr w:type="spellStart"/>
      <w:r>
        <w:rPr>
          <w:rFonts w:ascii="Calibri" w:eastAsia="Calibri" w:hAnsi="Calibri"/>
          <w:color w:val="000000"/>
        </w:rPr>
        <w:t>Solactive</w:t>
      </w:r>
      <w:proofErr w:type="spellEnd"/>
      <w:r>
        <w:rPr>
          <w:rFonts w:ascii="Calibri" w:eastAsia="Calibri" w:hAnsi="Calibri"/>
          <w:color w:val="000000"/>
        </w:rPr>
        <w:t xml:space="preserve"> Euro Government Green Bond Index” (the “Index"), while </w:t>
      </w:r>
      <w:proofErr w:type="spellStart"/>
      <w:r>
        <w:rPr>
          <w:rFonts w:ascii="Calibri" w:eastAsia="Calibri" w:hAnsi="Calibri"/>
          <w:color w:val="000000"/>
        </w:rPr>
        <w:t>minimising</w:t>
      </w:r>
      <w:proofErr w:type="spellEnd"/>
      <w:r>
        <w:rPr>
          <w:rFonts w:ascii="Calibri" w:eastAsia="Calibri" w:hAnsi="Calibri"/>
          <w:color w:val="000000"/>
        </w:rPr>
        <w:t xml:space="preserve"> the volatility of the difference between the return of the Sub-Fund and the return of the Benchmark Index (the “Tracking Error”). The Index is representative of the performance of investment grade rated Green Bonds issued by European countries and denominated in EUR. Green Bonds are issued in order to fund projects that have positive environmental outcomes.</w:t>
      </w:r>
    </w:p>
    <w:p w14:paraId="732717EB" w14:textId="77777777" w:rsid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This is a passively managed ETF. Its investment strategy is to replicate the Index while minimizing</w:t>
      </w:r>
      <w:r>
        <w:rPr>
          <w:rFonts w:ascii="Calibri" w:eastAsia="Calibri" w:hAnsi="Calibri"/>
          <w:color w:val="000000"/>
          <w:spacing w:val="-1"/>
        </w:rPr>
        <w:t xml:space="preserve"> </w:t>
      </w:r>
      <w:r w:rsidRPr="00C7124D">
        <w:rPr>
          <w:rFonts w:ascii="Calibri" w:eastAsia="Calibri" w:hAnsi="Calibri"/>
          <w:color w:val="000000"/>
          <w:spacing w:val="-1"/>
        </w:rPr>
        <w:t>the related tracking error.</w:t>
      </w:r>
    </w:p>
    <w:p w14:paraId="333F988B" w14:textId="07E1178C"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To be eligible for inclusion in the Index, a bond must be considered as a “Green Bond” by the Climate</w:t>
      </w:r>
      <w:r>
        <w:rPr>
          <w:rFonts w:ascii="Calibri" w:eastAsia="Calibri" w:hAnsi="Calibri"/>
          <w:color w:val="000000"/>
          <w:spacing w:val="-1"/>
        </w:rPr>
        <w:t xml:space="preserve"> </w:t>
      </w:r>
      <w:r w:rsidRPr="00C7124D">
        <w:rPr>
          <w:rFonts w:ascii="Calibri" w:eastAsia="Calibri" w:hAnsi="Calibri"/>
          <w:color w:val="000000"/>
          <w:spacing w:val="-1"/>
        </w:rPr>
        <w:t>Bonds Initiative. Climate Bonds Initiative is an investor-focused not-for-profit organization promoting</w:t>
      </w:r>
      <w:r>
        <w:rPr>
          <w:rFonts w:ascii="Calibri" w:eastAsia="Calibri" w:hAnsi="Calibri"/>
          <w:color w:val="000000"/>
          <w:spacing w:val="-1"/>
        </w:rPr>
        <w:t xml:space="preserve"> </w:t>
      </w:r>
      <w:r w:rsidRPr="00C7124D">
        <w:rPr>
          <w:rFonts w:ascii="Calibri" w:eastAsia="Calibri" w:hAnsi="Calibri"/>
          <w:color w:val="000000"/>
          <w:spacing w:val="-1"/>
        </w:rPr>
        <w:t>large-scale investments that will deliver a global low carbon and climate resilient economy (more</w:t>
      </w:r>
      <w:r>
        <w:rPr>
          <w:rFonts w:ascii="Calibri" w:eastAsia="Calibri" w:hAnsi="Calibri"/>
          <w:color w:val="000000"/>
          <w:spacing w:val="-1"/>
        </w:rPr>
        <w:t xml:space="preserve"> </w:t>
      </w:r>
      <w:r w:rsidRPr="00C7124D">
        <w:rPr>
          <w:rFonts w:ascii="Calibri" w:eastAsia="Calibri" w:hAnsi="Calibri"/>
          <w:color w:val="000000"/>
          <w:spacing w:val="-1"/>
        </w:rPr>
        <w:t>information is available on the website: http://www.climatebonds.net/). Climate Bonds Initiative has</w:t>
      </w:r>
      <w:r>
        <w:rPr>
          <w:rFonts w:ascii="Calibri" w:eastAsia="Calibri" w:hAnsi="Calibri"/>
          <w:color w:val="000000"/>
          <w:spacing w:val="-1"/>
        </w:rPr>
        <w:t xml:space="preserve"> </w:t>
      </w:r>
      <w:r w:rsidRPr="00C7124D">
        <w:rPr>
          <w:rFonts w:ascii="Calibri" w:eastAsia="Calibri" w:hAnsi="Calibri"/>
          <w:color w:val="000000"/>
          <w:spacing w:val="-1"/>
        </w:rPr>
        <w:t>developed and implemented the following set of criteria to define Green Bonds which are eligible for</w:t>
      </w:r>
      <w:r>
        <w:rPr>
          <w:rFonts w:ascii="Calibri" w:eastAsia="Calibri" w:hAnsi="Calibri"/>
          <w:color w:val="000000"/>
          <w:spacing w:val="-1"/>
        </w:rPr>
        <w:t xml:space="preserve"> </w:t>
      </w:r>
      <w:r w:rsidRPr="00C7124D">
        <w:rPr>
          <w:rFonts w:ascii="Calibri" w:eastAsia="Calibri" w:hAnsi="Calibri"/>
          <w:color w:val="000000"/>
          <w:spacing w:val="-1"/>
        </w:rPr>
        <w:t>the Index:</w:t>
      </w:r>
    </w:p>
    <w:p w14:paraId="5DC79B55" w14:textId="2A070E79" w:rsidR="00C7124D" w:rsidRPr="00C7124D" w:rsidRDefault="00C7124D" w:rsidP="00C7124D">
      <w:pPr>
        <w:spacing w:before="608" w:line="290" w:lineRule="exact"/>
        <w:jc w:val="both"/>
        <w:textAlignment w:val="baseline"/>
        <w:rPr>
          <w:rFonts w:ascii="Calibri" w:eastAsia="Calibri" w:hAnsi="Calibri"/>
          <w:color w:val="000000"/>
          <w:spacing w:val="-1"/>
        </w:rPr>
      </w:pPr>
      <w:proofErr w:type="spellStart"/>
      <w:r w:rsidRPr="00C7124D">
        <w:rPr>
          <w:rFonts w:ascii="Calibri" w:eastAsia="Calibri" w:hAnsi="Calibri"/>
          <w:color w:val="000000"/>
          <w:spacing w:val="-1"/>
        </w:rPr>
        <w:t>i</w:t>
      </w:r>
      <w:proofErr w:type="spellEnd"/>
      <w:r w:rsidRPr="00C7124D">
        <w:rPr>
          <w:rFonts w:ascii="Calibri" w:eastAsia="Calibri" w:hAnsi="Calibri"/>
          <w:color w:val="000000"/>
          <w:spacing w:val="-1"/>
        </w:rPr>
        <w:t>) Environmentally themed (self-labelled) bonds: to be eligible, green bonds must be publicly</w:t>
      </w:r>
      <w:r>
        <w:rPr>
          <w:rFonts w:ascii="Calibri" w:eastAsia="Calibri" w:hAnsi="Calibri"/>
          <w:color w:val="000000"/>
          <w:spacing w:val="-1"/>
        </w:rPr>
        <w:t xml:space="preserve"> </w:t>
      </w:r>
      <w:r w:rsidRPr="00C7124D">
        <w:rPr>
          <w:rFonts w:ascii="Calibri" w:eastAsia="Calibri" w:hAnsi="Calibri"/>
          <w:color w:val="000000"/>
          <w:spacing w:val="-1"/>
        </w:rPr>
        <w:t>declared by their issuers as intended to be environmentally beneficial through labelling. Common</w:t>
      </w:r>
      <w:r>
        <w:rPr>
          <w:rFonts w:ascii="Calibri" w:eastAsia="Calibri" w:hAnsi="Calibri"/>
          <w:color w:val="000000"/>
          <w:spacing w:val="-1"/>
        </w:rPr>
        <w:t xml:space="preserve"> </w:t>
      </w:r>
      <w:r w:rsidRPr="00C7124D">
        <w:rPr>
          <w:rFonts w:ascii="Calibri" w:eastAsia="Calibri" w:hAnsi="Calibri"/>
          <w:color w:val="000000"/>
          <w:spacing w:val="-1"/>
        </w:rPr>
        <w:t>eligible labels include, but are not limited to, ‘green’, ‘climate-awareness’, ‘climate’, ‘environmental’,</w:t>
      </w:r>
      <w:r>
        <w:rPr>
          <w:rFonts w:ascii="Calibri" w:eastAsia="Calibri" w:hAnsi="Calibri"/>
          <w:color w:val="000000"/>
          <w:spacing w:val="-1"/>
        </w:rPr>
        <w:t xml:space="preserve"> </w:t>
      </w:r>
      <w:r w:rsidRPr="00C7124D">
        <w:rPr>
          <w:rFonts w:ascii="Calibri" w:eastAsia="Calibri" w:hAnsi="Calibri"/>
          <w:color w:val="000000"/>
          <w:spacing w:val="-1"/>
        </w:rPr>
        <w:t>‘carbon’, ‘sustainability’ and ‘ESG’ (Environment, Social, and Governance). The issuer must use the</w:t>
      </w:r>
      <w:r>
        <w:rPr>
          <w:rFonts w:ascii="Calibri" w:eastAsia="Calibri" w:hAnsi="Calibri"/>
          <w:color w:val="000000"/>
          <w:spacing w:val="-1"/>
        </w:rPr>
        <w:t xml:space="preserve"> </w:t>
      </w:r>
      <w:r w:rsidRPr="00C7124D">
        <w:rPr>
          <w:rFonts w:ascii="Calibri" w:eastAsia="Calibri" w:hAnsi="Calibri"/>
          <w:color w:val="000000"/>
          <w:spacing w:val="-1"/>
        </w:rPr>
        <w:t>label or description in a public document for the label to be valid (e.g., in a press release, in a</w:t>
      </w:r>
      <w:r>
        <w:rPr>
          <w:rFonts w:ascii="Calibri" w:eastAsia="Calibri" w:hAnsi="Calibri"/>
          <w:color w:val="000000"/>
          <w:spacing w:val="-1"/>
        </w:rPr>
        <w:t xml:space="preserve"> </w:t>
      </w:r>
      <w:r w:rsidRPr="00C7124D">
        <w:rPr>
          <w:rFonts w:ascii="Calibri" w:eastAsia="Calibri" w:hAnsi="Calibri"/>
          <w:color w:val="000000"/>
          <w:spacing w:val="-1"/>
        </w:rPr>
        <w:t>statement, in the bond prospectus or supporting bond offering documents).</w:t>
      </w:r>
    </w:p>
    <w:p w14:paraId="4D9EE9B0"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ii) Eligible bond structures, which include:</w:t>
      </w:r>
    </w:p>
    <w:p w14:paraId="680BAE8C" w14:textId="347D7D11"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Asset-linked structures or ‘use of proceeds’ bonds, whereby proceeds raised by bond sale are</w:t>
      </w:r>
      <w:r>
        <w:rPr>
          <w:rFonts w:ascii="Calibri" w:eastAsia="Calibri" w:hAnsi="Calibri"/>
          <w:color w:val="000000"/>
          <w:spacing w:val="-1"/>
        </w:rPr>
        <w:t xml:space="preserve"> </w:t>
      </w:r>
      <w:r w:rsidRPr="00C7124D">
        <w:rPr>
          <w:rFonts w:ascii="Calibri" w:eastAsia="Calibri" w:hAnsi="Calibri"/>
          <w:color w:val="000000"/>
          <w:spacing w:val="-1"/>
        </w:rPr>
        <w:t>earmarked for eligible green projects; and</w:t>
      </w:r>
    </w:p>
    <w:p w14:paraId="233412F1"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Asset-backed structures consisting in:</w:t>
      </w:r>
    </w:p>
    <w:p w14:paraId="42659A64" w14:textId="58B91131"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a. Project bonds, which are eligible if they are backed by a green project and the proceeds from</w:t>
      </w:r>
      <w:r>
        <w:rPr>
          <w:rFonts w:ascii="Calibri" w:eastAsia="Calibri" w:hAnsi="Calibri"/>
          <w:color w:val="000000"/>
          <w:spacing w:val="-1"/>
        </w:rPr>
        <w:t xml:space="preserve"> </w:t>
      </w:r>
      <w:r w:rsidRPr="00C7124D">
        <w:rPr>
          <w:rFonts w:ascii="Calibri" w:eastAsia="Calibri" w:hAnsi="Calibri"/>
          <w:color w:val="000000"/>
          <w:spacing w:val="-1"/>
        </w:rPr>
        <w:t>bond sale are used solely to finance that same green project; and</w:t>
      </w:r>
    </w:p>
    <w:p w14:paraId="4EE0BF66"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b. Securitized bonds, which are eligible if proceeds go towards green projects or assets.</w:t>
      </w:r>
    </w:p>
    <w:p w14:paraId="57F2504C" w14:textId="37FD808A"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lastRenderedPageBreak/>
        <w:t>iii) Use of proceeds: issuers must commit to use proceeds from the bond sale in full (net of any bond</w:t>
      </w:r>
      <w:r>
        <w:rPr>
          <w:rFonts w:ascii="Calibri" w:eastAsia="Calibri" w:hAnsi="Calibri"/>
          <w:color w:val="000000"/>
          <w:spacing w:val="-1"/>
        </w:rPr>
        <w:t xml:space="preserve"> </w:t>
      </w:r>
      <w:r w:rsidRPr="00C7124D">
        <w:rPr>
          <w:rFonts w:ascii="Calibri" w:eastAsia="Calibri" w:hAnsi="Calibri"/>
          <w:color w:val="000000"/>
          <w:spacing w:val="-1"/>
        </w:rPr>
        <w:t>arrangement fees) to finance eligible green projects or assets. For instance, bonds where more than</w:t>
      </w:r>
      <w:r>
        <w:rPr>
          <w:rFonts w:ascii="Calibri" w:eastAsia="Calibri" w:hAnsi="Calibri"/>
          <w:color w:val="000000"/>
          <w:spacing w:val="-1"/>
        </w:rPr>
        <w:t xml:space="preserve"> </w:t>
      </w:r>
      <w:r w:rsidRPr="00C7124D">
        <w:rPr>
          <w:rFonts w:ascii="Calibri" w:eastAsia="Calibri" w:hAnsi="Calibri"/>
          <w:color w:val="000000"/>
          <w:spacing w:val="-1"/>
        </w:rPr>
        <w:t>5% of the proceeds are used for ‘general corporate purposes’ or projects that are not defined as</w:t>
      </w:r>
      <w:r>
        <w:rPr>
          <w:rFonts w:ascii="Calibri" w:eastAsia="Calibri" w:hAnsi="Calibri"/>
          <w:color w:val="000000"/>
          <w:spacing w:val="-1"/>
        </w:rPr>
        <w:t xml:space="preserve"> </w:t>
      </w:r>
      <w:r w:rsidRPr="00C7124D">
        <w:rPr>
          <w:rFonts w:ascii="Calibri" w:eastAsia="Calibri" w:hAnsi="Calibri"/>
          <w:color w:val="000000"/>
          <w:spacing w:val="-1"/>
        </w:rPr>
        <w:t>green, or bonds where proceeds are to be split across different projects (e.g., an ESG Bond with</w:t>
      </w:r>
      <w:r>
        <w:rPr>
          <w:rFonts w:ascii="Calibri" w:eastAsia="Calibri" w:hAnsi="Calibri"/>
          <w:color w:val="000000"/>
          <w:spacing w:val="-1"/>
        </w:rPr>
        <w:t xml:space="preserve"> </w:t>
      </w:r>
      <w:r w:rsidRPr="00C7124D">
        <w:rPr>
          <w:rFonts w:ascii="Calibri" w:eastAsia="Calibri" w:hAnsi="Calibri"/>
          <w:color w:val="000000"/>
          <w:spacing w:val="-1"/>
        </w:rPr>
        <w:t>social projects and separate green projects) are not eligible for inclusion in the Index.</w:t>
      </w:r>
    </w:p>
    <w:p w14:paraId="57B32859" w14:textId="57DFD8D4"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iv) Adherence with the “Climate Bonds Taxonomy”: proceeds of an eligible green bond must be</w:t>
      </w:r>
      <w:r>
        <w:rPr>
          <w:rFonts w:ascii="Calibri" w:eastAsia="Calibri" w:hAnsi="Calibri"/>
          <w:color w:val="000000"/>
          <w:spacing w:val="-1"/>
        </w:rPr>
        <w:t xml:space="preserve"> </w:t>
      </w:r>
      <w:r w:rsidRPr="00C7124D">
        <w:rPr>
          <w:rFonts w:ascii="Calibri" w:eastAsia="Calibri" w:hAnsi="Calibri"/>
          <w:color w:val="000000"/>
          <w:spacing w:val="-1"/>
        </w:rPr>
        <w:t>used to finance eligible green assets or projects which are typically related to one of the following</w:t>
      </w:r>
      <w:r>
        <w:rPr>
          <w:rFonts w:ascii="Calibri" w:eastAsia="Calibri" w:hAnsi="Calibri"/>
          <w:color w:val="000000"/>
          <w:spacing w:val="-1"/>
        </w:rPr>
        <w:t xml:space="preserve"> </w:t>
      </w:r>
      <w:r w:rsidRPr="00C7124D">
        <w:rPr>
          <w:rFonts w:ascii="Calibri" w:eastAsia="Calibri" w:hAnsi="Calibri"/>
          <w:color w:val="000000"/>
          <w:spacing w:val="-1"/>
        </w:rPr>
        <w:t>sectors (as described in the Climate Bonds Taxonomy):</w:t>
      </w:r>
    </w:p>
    <w:p w14:paraId="0F1FB4E1"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Renewable and Alternative Energy;</w:t>
      </w:r>
    </w:p>
    <w:p w14:paraId="4E6AC759"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Energy efficiency;</w:t>
      </w:r>
    </w:p>
    <w:p w14:paraId="716E703B"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Low-Carbon Transport;</w:t>
      </w:r>
    </w:p>
    <w:p w14:paraId="34D46B8A"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Sustainable Water;</w:t>
      </w:r>
    </w:p>
    <w:p w14:paraId="542E5A62"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Waste, recycling and pollution;</w:t>
      </w:r>
    </w:p>
    <w:p w14:paraId="114E45DC"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Sustainable agriculture and forestry;</w:t>
      </w:r>
    </w:p>
    <w:p w14:paraId="02DABDC0" w14:textId="77777777"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 Climate resilient infrastructure and climate adaptation.</w:t>
      </w:r>
    </w:p>
    <w:p w14:paraId="4136C4E9" w14:textId="626F275F"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As further described in the Climate Bonds Taxonomy, areas of the above sectors can be excluded</w:t>
      </w:r>
      <w:r>
        <w:rPr>
          <w:rFonts w:ascii="Calibri" w:eastAsia="Calibri" w:hAnsi="Calibri"/>
          <w:color w:val="000000"/>
          <w:spacing w:val="-1"/>
        </w:rPr>
        <w:t xml:space="preserve"> </w:t>
      </w:r>
      <w:r w:rsidRPr="00C7124D">
        <w:rPr>
          <w:rFonts w:ascii="Calibri" w:eastAsia="Calibri" w:hAnsi="Calibri"/>
          <w:color w:val="000000"/>
          <w:spacing w:val="-1"/>
        </w:rPr>
        <w:t>(e.g. energy savings in fossil fuel extraction activities - for the energy efficiency category -, or the</w:t>
      </w:r>
      <w:r>
        <w:rPr>
          <w:rFonts w:ascii="Calibri" w:eastAsia="Calibri" w:hAnsi="Calibri"/>
          <w:color w:val="000000"/>
          <w:spacing w:val="-1"/>
        </w:rPr>
        <w:t xml:space="preserve"> </w:t>
      </w:r>
      <w:r w:rsidRPr="00C7124D">
        <w:rPr>
          <w:rFonts w:ascii="Calibri" w:eastAsia="Calibri" w:hAnsi="Calibri"/>
          <w:color w:val="000000"/>
          <w:spacing w:val="-1"/>
        </w:rPr>
        <w:t>landfill without gas capture - for the waste category -) and related bonds are ineligible for inclusion</w:t>
      </w:r>
      <w:r>
        <w:rPr>
          <w:rFonts w:ascii="Calibri" w:eastAsia="Calibri" w:hAnsi="Calibri"/>
          <w:color w:val="000000"/>
          <w:spacing w:val="-1"/>
        </w:rPr>
        <w:t xml:space="preserve"> </w:t>
      </w:r>
      <w:r w:rsidRPr="00C7124D">
        <w:rPr>
          <w:rFonts w:ascii="Calibri" w:eastAsia="Calibri" w:hAnsi="Calibri"/>
          <w:color w:val="000000"/>
          <w:spacing w:val="-1"/>
        </w:rPr>
        <w:t>in the Index.</w:t>
      </w:r>
    </w:p>
    <w:p w14:paraId="7139FF3C" w14:textId="7036B276" w:rsidR="00C7124D" w:rsidRP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More information can be found on the website: http://www.climatebonds.net/ and</w:t>
      </w:r>
      <w:r>
        <w:rPr>
          <w:rFonts w:ascii="Calibri" w:eastAsia="Calibri" w:hAnsi="Calibri"/>
          <w:color w:val="000000"/>
          <w:spacing w:val="-1"/>
        </w:rPr>
        <w:t xml:space="preserve"> </w:t>
      </w:r>
      <w:r w:rsidRPr="00C7124D">
        <w:rPr>
          <w:rFonts w:ascii="Calibri" w:eastAsia="Calibri" w:hAnsi="Calibri"/>
          <w:color w:val="000000"/>
          <w:spacing w:val="-1"/>
        </w:rPr>
        <w:t>https://www.climatebonds.net/standard/taxonomy.</w:t>
      </w:r>
    </w:p>
    <w:p w14:paraId="0E6C2C28" w14:textId="4BF2ABA6" w:rsidR="00C7124D" w:rsidRDefault="00C7124D" w:rsidP="00C7124D">
      <w:pPr>
        <w:spacing w:before="608" w:line="290" w:lineRule="exact"/>
        <w:jc w:val="both"/>
        <w:textAlignment w:val="baseline"/>
        <w:rPr>
          <w:rFonts w:ascii="Calibri" w:eastAsia="Calibri" w:hAnsi="Calibri"/>
          <w:color w:val="000000"/>
          <w:spacing w:val="-1"/>
        </w:rPr>
      </w:pPr>
      <w:r w:rsidRPr="00C7124D">
        <w:rPr>
          <w:rFonts w:ascii="Calibri" w:eastAsia="Calibri" w:hAnsi="Calibri"/>
          <w:color w:val="000000"/>
          <w:spacing w:val="-1"/>
        </w:rPr>
        <w:t>The Product strategy is also relying on systematic exclusions policies (normative and sectorial) as</w:t>
      </w:r>
      <w:r>
        <w:rPr>
          <w:rFonts w:ascii="Calibri" w:eastAsia="Calibri" w:hAnsi="Calibri"/>
          <w:color w:val="000000"/>
          <w:spacing w:val="-1"/>
        </w:rPr>
        <w:t xml:space="preserve"> </w:t>
      </w:r>
      <w:r w:rsidRPr="00C7124D">
        <w:rPr>
          <w:rFonts w:ascii="Calibri" w:eastAsia="Calibri" w:hAnsi="Calibri"/>
          <w:color w:val="000000"/>
          <w:spacing w:val="-1"/>
        </w:rPr>
        <w:t>further described in Amundi Responsible Investment policy.</w:t>
      </w:r>
    </w:p>
    <w:p w14:paraId="1FCC7979" w14:textId="0C0DF492" w:rsidR="009275F5" w:rsidRDefault="00BC2B5C" w:rsidP="00C7124D">
      <w:pPr>
        <w:spacing w:before="608" w:line="290" w:lineRule="exact"/>
        <w:jc w:val="both"/>
        <w:textAlignment w:val="baseline"/>
        <w:rPr>
          <w:rFonts w:ascii="Calibri" w:eastAsia="Calibri" w:hAnsi="Calibri"/>
          <w:color w:val="000000"/>
        </w:rPr>
      </w:pPr>
      <w:r>
        <w:rPr>
          <w:rFonts w:ascii="Calibri" w:eastAsia="Calibri" w:hAnsi="Calibri"/>
          <w:color w:val="000000"/>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w:t>
      </w:r>
      <w:r>
        <w:rPr>
          <w:rFonts w:ascii="Calibri" w:eastAsia="Calibri" w:hAnsi="Calibri"/>
          <w:color w:val="000000"/>
        </w:rPr>
        <w:t>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025CE483" w14:textId="77777777" w:rsidR="009275F5" w:rsidRDefault="00BC2B5C">
      <w:pPr>
        <w:spacing w:before="607" w:line="290" w:lineRule="exact"/>
        <w:jc w:val="both"/>
        <w:textAlignment w:val="baseline"/>
        <w:rPr>
          <w:rFonts w:ascii="Calibri" w:eastAsia="Calibri" w:hAnsi="Calibri"/>
          <w:color w:val="000000"/>
        </w:rPr>
      </w:pPr>
      <w:r>
        <w:rPr>
          <w:rFonts w:ascii="Calibri" w:eastAsia="Calibri" w:hAnsi="Calibri"/>
          <w:color w:val="000000"/>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w:t>
      </w:r>
      <w:r>
        <w:rPr>
          <w:rFonts w:ascii="Calibri" w:eastAsia="Calibri" w:hAnsi="Calibri"/>
          <w:color w:val="000000"/>
        </w:rPr>
        <w:t>y default within 90 days.</w:t>
      </w:r>
    </w:p>
    <w:p w14:paraId="40B728FE" w14:textId="77777777" w:rsidR="009275F5" w:rsidRDefault="00BC2B5C">
      <w:pPr>
        <w:spacing w:before="611" w:line="290" w:lineRule="exact"/>
        <w:jc w:val="both"/>
        <w:textAlignment w:val="baseline"/>
        <w:rPr>
          <w:rFonts w:ascii="Calibri" w:eastAsia="Calibri" w:hAnsi="Calibri"/>
          <w:color w:val="000000"/>
        </w:rPr>
      </w:pPr>
      <w:r>
        <w:rPr>
          <w:rFonts w:ascii="Calibri" w:eastAsia="Calibri" w:hAnsi="Calibri"/>
          <w:color w:val="000000"/>
        </w:rPr>
        <w:t>Amundi Stewardship Policy (engagement and voting) related to governance complements this approach.</w:t>
      </w:r>
    </w:p>
    <w:p w14:paraId="4DAC62FB" w14:textId="77777777" w:rsidR="009275F5" w:rsidRDefault="00BC2B5C">
      <w:pPr>
        <w:spacing w:before="1587" w:line="256" w:lineRule="exact"/>
        <w:textAlignment w:val="baseline"/>
        <w:rPr>
          <w:rFonts w:ascii="Tahoma" w:eastAsia="Tahoma" w:hAnsi="Tahoma"/>
          <w:color w:val="000000"/>
          <w:spacing w:val="12"/>
          <w:sz w:val="21"/>
        </w:rPr>
      </w:pPr>
      <w:r>
        <w:rPr>
          <w:rFonts w:ascii="Tahoma" w:eastAsia="Tahoma" w:hAnsi="Tahoma"/>
          <w:color w:val="000000"/>
          <w:spacing w:val="12"/>
          <w:sz w:val="21"/>
        </w:rPr>
        <w:t>Proportion of investments</w:t>
      </w:r>
    </w:p>
    <w:p w14:paraId="3068AA34" w14:textId="3DEA2214" w:rsidR="00BC2B5C" w:rsidRPr="00BC2B5C" w:rsidRDefault="00BC2B5C" w:rsidP="00BC2B5C">
      <w:pPr>
        <w:spacing w:before="456" w:line="290" w:lineRule="exact"/>
        <w:jc w:val="both"/>
        <w:textAlignment w:val="baseline"/>
        <w:rPr>
          <w:rFonts w:ascii="Calibri" w:eastAsia="Calibri" w:hAnsi="Calibri"/>
          <w:color w:val="000000"/>
          <w:spacing w:val="-2"/>
        </w:rPr>
      </w:pPr>
      <w:r w:rsidRPr="00BC2B5C">
        <w:rPr>
          <w:rFonts w:ascii="Calibri" w:eastAsia="Calibri" w:hAnsi="Calibri"/>
          <w:color w:val="000000"/>
          <w:spacing w:val="-2"/>
        </w:rPr>
        <w:t>The sub-fund commits to invest permanently at least 90% the net asset value of the Sub-Fund in</w:t>
      </w:r>
      <w:r>
        <w:rPr>
          <w:rFonts w:ascii="Calibri" w:eastAsia="Calibri" w:hAnsi="Calibri"/>
          <w:color w:val="000000"/>
          <w:spacing w:val="-2"/>
        </w:rPr>
        <w:t xml:space="preserve"> </w:t>
      </w:r>
      <w:r w:rsidRPr="00BC2B5C">
        <w:rPr>
          <w:rFonts w:ascii="Calibri" w:eastAsia="Calibri" w:hAnsi="Calibri"/>
          <w:color w:val="000000"/>
          <w:spacing w:val="-2"/>
        </w:rPr>
        <w:t>Green Bonds comprising the Index (</w:t>
      </w:r>
      <w:proofErr w:type="spellStart"/>
      <w:r w:rsidRPr="00BC2B5C">
        <w:rPr>
          <w:rFonts w:ascii="Calibri" w:eastAsia="Calibri" w:hAnsi="Calibri"/>
          <w:color w:val="000000"/>
          <w:spacing w:val="-2"/>
        </w:rPr>
        <w:t>ie</w:t>
      </w:r>
      <w:proofErr w:type="spellEnd"/>
      <w:r w:rsidRPr="00BC2B5C">
        <w:rPr>
          <w:rFonts w:ascii="Calibri" w:eastAsia="Calibri" w:hAnsi="Calibri"/>
          <w:color w:val="000000"/>
          <w:spacing w:val="-2"/>
        </w:rPr>
        <w:t xml:space="preserve"> an EMU Government Green Bond)</w:t>
      </w:r>
    </w:p>
    <w:p w14:paraId="1D799F16" w14:textId="219551DC" w:rsidR="00BC2B5C" w:rsidRPr="00BC2B5C" w:rsidRDefault="00BC2B5C" w:rsidP="00BC2B5C">
      <w:pPr>
        <w:spacing w:before="456" w:line="290" w:lineRule="exact"/>
        <w:jc w:val="both"/>
        <w:textAlignment w:val="baseline"/>
        <w:rPr>
          <w:rFonts w:ascii="Calibri" w:eastAsia="Calibri" w:hAnsi="Calibri"/>
          <w:color w:val="000000"/>
          <w:spacing w:val="-2"/>
        </w:rPr>
      </w:pPr>
      <w:r w:rsidRPr="00BC2B5C">
        <w:rPr>
          <w:rFonts w:ascii="Calibri" w:eastAsia="Calibri" w:hAnsi="Calibri"/>
          <w:color w:val="000000"/>
          <w:spacing w:val="-2"/>
        </w:rPr>
        <w:t>The Sub-Fund commits to have a minimum of 90% of sustainable investments as per the below</w:t>
      </w:r>
      <w:r>
        <w:rPr>
          <w:rFonts w:ascii="Calibri" w:eastAsia="Calibri" w:hAnsi="Calibri"/>
          <w:color w:val="000000"/>
          <w:spacing w:val="-2"/>
        </w:rPr>
        <w:t xml:space="preserve"> </w:t>
      </w:r>
      <w:r w:rsidRPr="00BC2B5C">
        <w:rPr>
          <w:rFonts w:ascii="Calibri" w:eastAsia="Calibri" w:hAnsi="Calibri"/>
          <w:color w:val="000000"/>
          <w:spacing w:val="-2"/>
        </w:rPr>
        <w:t>chart. The Sustainable investment of the Sub Fund are supporting Environmental objective.</w:t>
      </w:r>
    </w:p>
    <w:p w14:paraId="695E0555" w14:textId="4F1B7053" w:rsidR="009275F5" w:rsidRDefault="00BC2B5C" w:rsidP="00BC2B5C">
      <w:pPr>
        <w:spacing w:before="456" w:line="290" w:lineRule="exact"/>
        <w:jc w:val="both"/>
        <w:textAlignment w:val="baseline"/>
        <w:rPr>
          <w:rFonts w:ascii="Calibri" w:eastAsia="Calibri" w:hAnsi="Calibri"/>
          <w:color w:val="000000"/>
          <w:spacing w:val="-2"/>
        </w:rPr>
      </w:pPr>
      <w:r w:rsidRPr="00BC2B5C">
        <w:rPr>
          <w:rFonts w:ascii="Calibri" w:eastAsia="Calibri" w:hAnsi="Calibri"/>
          <w:color w:val="000000"/>
          <w:spacing w:val="-2"/>
        </w:rPr>
        <w:t>The planned proportion of other Environmental investment may change as the actual proportions of</w:t>
      </w:r>
      <w:r>
        <w:rPr>
          <w:rFonts w:ascii="Calibri" w:eastAsia="Calibri" w:hAnsi="Calibri"/>
          <w:color w:val="000000"/>
          <w:spacing w:val="-2"/>
        </w:rPr>
        <w:t xml:space="preserve"> </w:t>
      </w:r>
      <w:r w:rsidRPr="00BC2B5C">
        <w:rPr>
          <w:rFonts w:ascii="Calibri" w:eastAsia="Calibri" w:hAnsi="Calibri"/>
          <w:color w:val="000000"/>
          <w:spacing w:val="-2"/>
        </w:rPr>
        <w:t>Taxonomy-aligned investments increase.</w:t>
      </w:r>
    </w:p>
    <w:p w14:paraId="56FF7906" w14:textId="77777777" w:rsidR="009275F5" w:rsidRDefault="009275F5">
      <w:pPr>
        <w:sectPr w:rsidR="009275F5">
          <w:pgSz w:w="11904" w:h="16843"/>
          <w:pgMar w:top="1460" w:right="1412" w:bottom="1567" w:left="1412" w:header="720" w:footer="720" w:gutter="0"/>
          <w:cols w:space="720"/>
        </w:sectPr>
      </w:pPr>
    </w:p>
    <w:p w14:paraId="21D2D1A5" w14:textId="77777777" w:rsidR="009275F5" w:rsidRDefault="00BC2B5C">
      <w:pPr>
        <w:spacing w:before="16" w:line="258" w:lineRule="exact"/>
        <w:textAlignment w:val="baseline"/>
        <w:rPr>
          <w:rFonts w:ascii="Verdana" w:eastAsia="Verdana" w:hAnsi="Verdana"/>
          <w:color w:val="000000"/>
          <w:sz w:val="21"/>
        </w:rPr>
      </w:pPr>
      <w:r>
        <w:rPr>
          <w:rFonts w:ascii="Verdana" w:eastAsia="Verdana" w:hAnsi="Verdana"/>
          <w:color w:val="000000"/>
          <w:sz w:val="21"/>
        </w:rPr>
        <w:lastRenderedPageBreak/>
        <w:t>Monitoring of sustainable investment objective</w:t>
      </w:r>
    </w:p>
    <w:p w14:paraId="2FC16116" w14:textId="77777777" w:rsidR="009275F5" w:rsidRDefault="00BC2B5C">
      <w:pPr>
        <w:numPr>
          <w:ilvl w:val="0"/>
          <w:numId w:val="2"/>
        </w:numPr>
        <w:spacing w:before="527" w:line="226" w:lineRule="exact"/>
        <w:textAlignment w:val="baseline"/>
        <w:rPr>
          <w:rFonts w:ascii="Calibri" w:eastAsia="Calibri" w:hAnsi="Calibri"/>
          <w:b/>
          <w:color w:val="000000"/>
        </w:rPr>
      </w:pPr>
      <w:r>
        <w:rPr>
          <w:rFonts w:ascii="Calibri" w:eastAsia="Calibri" w:hAnsi="Calibri"/>
          <w:b/>
          <w:color w:val="000000"/>
        </w:rPr>
        <w:t>Share of the portfolio invested in green bonds</w:t>
      </w:r>
    </w:p>
    <w:p w14:paraId="28B66109" w14:textId="77777777" w:rsidR="009275F5" w:rsidRDefault="00BC2B5C">
      <w:pPr>
        <w:spacing w:before="158" w:line="289" w:lineRule="exact"/>
        <w:jc w:val="both"/>
        <w:textAlignment w:val="baseline"/>
        <w:rPr>
          <w:rFonts w:ascii="Calibri" w:eastAsia="Calibri" w:hAnsi="Calibri"/>
          <w:color w:val="000000"/>
        </w:rPr>
      </w:pPr>
      <w:r>
        <w:rPr>
          <w:rFonts w:ascii="Calibri" w:eastAsia="Calibri" w:hAnsi="Calibri"/>
          <w:color w:val="000000"/>
        </w:rPr>
        <w:t>The proportion of the portfolio that is invested in use-of-proceeds Green, Social and Sustainable (GSS) bonds is monitored on an ongoing basis within Amundi’s proprietary portfolio management system Alto, relying on Bloomberg data for the categorization of the securities as green bonds and on Amundi’s proprietary analysis for the verification of Amundi GSS requirements as performed by Amundi’s ESG analysts (see Methodologies section below).</w:t>
      </w:r>
    </w:p>
    <w:p w14:paraId="77B55A27" w14:textId="77777777" w:rsidR="009275F5" w:rsidRDefault="00BC2B5C">
      <w:pPr>
        <w:spacing w:before="162" w:line="289" w:lineRule="exact"/>
        <w:jc w:val="both"/>
        <w:textAlignment w:val="baseline"/>
        <w:rPr>
          <w:rFonts w:ascii="Calibri" w:eastAsia="Calibri" w:hAnsi="Calibri"/>
          <w:color w:val="000000"/>
        </w:rPr>
      </w:pPr>
      <w:r>
        <w:rPr>
          <w:rFonts w:ascii="Calibri" w:eastAsia="Calibri" w:hAnsi="Calibri"/>
          <w:color w:val="000000"/>
        </w:rPr>
        <w:t>In case a bond loses its GSS bond status after inclusion in the portfolio, it is removed from the portfolio within 90 days by default.</w:t>
      </w:r>
    </w:p>
    <w:p w14:paraId="035079BD" w14:textId="77777777" w:rsidR="009275F5" w:rsidRDefault="00BC2B5C">
      <w:pPr>
        <w:spacing w:before="160" w:line="289" w:lineRule="exact"/>
        <w:jc w:val="both"/>
        <w:textAlignment w:val="baseline"/>
        <w:rPr>
          <w:rFonts w:ascii="Calibri" w:eastAsia="Calibri" w:hAnsi="Calibri"/>
          <w:color w:val="000000"/>
        </w:rPr>
      </w:pPr>
      <w:r>
        <w:rPr>
          <w:rFonts w:ascii="Calibri" w:eastAsia="Calibri" w:hAnsi="Calibri"/>
          <w:color w:val="000000"/>
        </w:rPr>
        <w:t>Amundi’s Risk function performs second-level monitoring by checking that the investment constraint in terms of minimum share of the portfolio to be invested in green bonds is met at all times, requiring immediate adjustments in case of breach.</w:t>
      </w:r>
    </w:p>
    <w:p w14:paraId="415B0CF8" w14:textId="77777777" w:rsidR="009275F5" w:rsidRDefault="00BC2B5C">
      <w:pPr>
        <w:numPr>
          <w:ilvl w:val="0"/>
          <w:numId w:val="2"/>
        </w:numPr>
        <w:spacing w:before="681" w:line="226" w:lineRule="exact"/>
        <w:textAlignment w:val="baseline"/>
        <w:rPr>
          <w:rFonts w:ascii="Calibri" w:eastAsia="Calibri" w:hAnsi="Calibri"/>
          <w:b/>
          <w:color w:val="000000"/>
        </w:rPr>
      </w:pPr>
      <w:r>
        <w:rPr>
          <w:rFonts w:ascii="Calibri" w:eastAsia="Calibri" w:hAnsi="Calibri"/>
          <w:b/>
          <w:color w:val="000000"/>
        </w:rPr>
        <w:t>Issuer-level monitoring</w:t>
      </w:r>
    </w:p>
    <w:p w14:paraId="5D0D609C" w14:textId="77777777" w:rsidR="009275F5" w:rsidRDefault="00BC2B5C">
      <w:pPr>
        <w:spacing w:before="159" w:line="289" w:lineRule="exact"/>
        <w:jc w:val="both"/>
        <w:textAlignment w:val="baseline"/>
        <w:rPr>
          <w:rFonts w:ascii="Calibri" w:eastAsia="Calibri" w:hAnsi="Calibri"/>
          <w:color w:val="000000"/>
        </w:rPr>
      </w:pPr>
      <w:r>
        <w:rPr>
          <w:rFonts w:ascii="Calibri" w:eastAsia="Calibri" w:hAnsi="Calibri"/>
          <w:color w:val="000000"/>
        </w:rPr>
        <w:t>The DNSH (including Minimum Safeguards) and Good Governance (where relevant) tests based on “Amundi Sustainable Investment Framework” are carried out on the issuers of the green bonds before and after trading, on an ongoing basis, by the portfolio managers and the Risk function. These tests are based on Amundi’s proprietary ESG scores and controversy screening methodology. ESG scores – including those leading to exclusions based on the monitoring of severe controversies – are updated on a monthly basis with</w:t>
      </w:r>
      <w:r>
        <w:rPr>
          <w:rFonts w:ascii="Calibri" w:eastAsia="Calibri" w:hAnsi="Calibri"/>
          <w:color w:val="000000"/>
        </w:rPr>
        <w:t>in Amundi’s proprietary module Stock Rating Integrator (SRI). Whenever an issuer whose green bonds are included in the portfolio is found to no longer meet the DNSH and Good Governance (where relevant) tests, the associated securities are removed from the portfolio within 90 days by default.</w:t>
      </w:r>
    </w:p>
    <w:p w14:paraId="65401B55" w14:textId="77777777" w:rsidR="009275F5" w:rsidRDefault="00BC2B5C">
      <w:pPr>
        <w:spacing w:before="1140" w:line="257" w:lineRule="exact"/>
        <w:textAlignment w:val="baseline"/>
        <w:rPr>
          <w:rFonts w:ascii="Verdana" w:eastAsia="Verdana" w:hAnsi="Verdana"/>
          <w:color w:val="000000"/>
          <w:sz w:val="21"/>
        </w:rPr>
      </w:pPr>
      <w:r>
        <w:rPr>
          <w:rFonts w:ascii="Verdana" w:eastAsia="Verdana" w:hAnsi="Verdana"/>
          <w:color w:val="000000"/>
          <w:sz w:val="21"/>
        </w:rPr>
        <w:t>Methodologies</w:t>
      </w:r>
    </w:p>
    <w:p w14:paraId="676583D6" w14:textId="77777777" w:rsidR="009275F5" w:rsidRDefault="00BC2B5C">
      <w:pPr>
        <w:spacing w:before="458" w:line="289" w:lineRule="exact"/>
        <w:jc w:val="both"/>
        <w:textAlignment w:val="baseline"/>
        <w:rPr>
          <w:rFonts w:ascii="Calibri" w:eastAsia="Calibri" w:hAnsi="Calibri"/>
          <w:color w:val="000000"/>
        </w:rPr>
      </w:pPr>
      <w:r>
        <w:rPr>
          <w:rFonts w:ascii="Calibri" w:eastAsia="Calibri" w:hAnsi="Calibri"/>
          <w:color w:val="000000"/>
        </w:rPr>
        <w:t>The “Amundi Sustainable Investment Framework” comprises a set of criteria and indicators used to assess:</w:t>
      </w:r>
    </w:p>
    <w:p w14:paraId="3C7FA187" w14:textId="77777777" w:rsidR="009275F5" w:rsidRDefault="00BC2B5C">
      <w:pPr>
        <w:numPr>
          <w:ilvl w:val="0"/>
          <w:numId w:val="3"/>
        </w:numPr>
        <w:tabs>
          <w:tab w:val="clear" w:pos="360"/>
          <w:tab w:val="left" w:pos="720"/>
        </w:tabs>
        <w:spacing w:before="230" w:line="222" w:lineRule="exact"/>
        <w:ind w:left="360"/>
        <w:textAlignment w:val="baseline"/>
        <w:rPr>
          <w:rFonts w:ascii="Calibri" w:eastAsia="Calibri" w:hAnsi="Calibri"/>
          <w:color w:val="000000"/>
        </w:rPr>
      </w:pPr>
      <w:r>
        <w:rPr>
          <w:rFonts w:ascii="Calibri" w:eastAsia="Calibri" w:hAnsi="Calibri"/>
          <w:color w:val="000000"/>
        </w:rPr>
        <w:t>Economic activity contribution to an environmental or social objective;</w:t>
      </w:r>
    </w:p>
    <w:p w14:paraId="07648A65" w14:textId="77777777" w:rsidR="009275F5" w:rsidRDefault="00BC2B5C">
      <w:pPr>
        <w:numPr>
          <w:ilvl w:val="0"/>
          <w:numId w:val="3"/>
        </w:numPr>
        <w:tabs>
          <w:tab w:val="clear" w:pos="360"/>
          <w:tab w:val="left" w:pos="720"/>
        </w:tabs>
        <w:spacing w:before="47" w:line="222" w:lineRule="exact"/>
        <w:ind w:left="360"/>
        <w:textAlignment w:val="baseline"/>
        <w:rPr>
          <w:rFonts w:ascii="Calibri" w:eastAsia="Calibri" w:hAnsi="Calibri"/>
          <w:color w:val="000000"/>
        </w:rPr>
      </w:pPr>
      <w:r>
        <w:rPr>
          <w:rFonts w:ascii="Calibri" w:eastAsia="Calibri" w:hAnsi="Calibri"/>
          <w:color w:val="000000"/>
        </w:rPr>
        <w:t>Investments’ compliance with the requirement not to significantly harm that objective;</w:t>
      </w:r>
    </w:p>
    <w:p w14:paraId="371DE9B5" w14:textId="77777777" w:rsidR="009275F5" w:rsidRDefault="00BC2B5C">
      <w:pPr>
        <w:numPr>
          <w:ilvl w:val="0"/>
          <w:numId w:val="3"/>
        </w:numPr>
        <w:tabs>
          <w:tab w:val="clear" w:pos="360"/>
          <w:tab w:val="left" w:pos="720"/>
        </w:tabs>
        <w:spacing w:before="47" w:line="221" w:lineRule="exact"/>
        <w:ind w:left="360"/>
        <w:textAlignment w:val="baseline"/>
        <w:rPr>
          <w:rFonts w:ascii="Calibri" w:eastAsia="Calibri" w:hAnsi="Calibri"/>
          <w:color w:val="000000"/>
        </w:rPr>
      </w:pPr>
      <w:r>
        <w:rPr>
          <w:rFonts w:ascii="Calibri" w:eastAsia="Calibri" w:hAnsi="Calibri"/>
          <w:color w:val="000000"/>
        </w:rPr>
        <w:t>Whether investee companies follow good governance practices.</w:t>
      </w:r>
    </w:p>
    <w:p w14:paraId="119B9442" w14:textId="77777777" w:rsidR="009275F5" w:rsidRDefault="00BC2B5C">
      <w:pPr>
        <w:spacing w:line="281" w:lineRule="exact"/>
        <w:jc w:val="both"/>
        <w:textAlignment w:val="baseline"/>
        <w:rPr>
          <w:rFonts w:ascii="Calibri" w:eastAsia="Calibri" w:hAnsi="Calibri"/>
          <w:color w:val="000000"/>
          <w:spacing w:val="-1"/>
        </w:rPr>
      </w:pPr>
      <w:r>
        <w:rPr>
          <w:rFonts w:ascii="Calibri" w:eastAsia="Calibri" w:hAnsi="Calibri"/>
          <w:color w:val="000000"/>
          <w:spacing w:val="-1"/>
        </w:rPr>
        <w:t>This framework enables Amundi and its subsidiaries to assess whether investments can be considered as ‘Sustainable Investments’, and accounted for when disclosing the proportion of investment in ‘Sustainable Investment’ and monitoring the compliance with fund level commitments.</w:t>
      </w:r>
    </w:p>
    <w:p w14:paraId="189350BE" w14:textId="77777777" w:rsidR="009275F5" w:rsidRDefault="00BC2B5C">
      <w:pPr>
        <w:spacing w:before="230" w:line="226" w:lineRule="exact"/>
        <w:ind w:left="360"/>
        <w:textAlignment w:val="baseline"/>
        <w:rPr>
          <w:rFonts w:ascii="Calibri" w:eastAsia="Calibri" w:hAnsi="Calibri"/>
          <w:b/>
          <w:color w:val="000000"/>
        </w:rPr>
      </w:pPr>
      <w:r>
        <w:rPr>
          <w:rFonts w:ascii="Calibri" w:eastAsia="Calibri" w:hAnsi="Calibri"/>
          <w:b/>
          <w:color w:val="000000"/>
        </w:rPr>
        <w:t>A. Contribution test.</w:t>
      </w:r>
    </w:p>
    <w:p w14:paraId="668D354E" w14:textId="77777777" w:rsidR="009275F5" w:rsidRDefault="00BC2B5C">
      <w:pPr>
        <w:spacing w:line="281" w:lineRule="exact"/>
        <w:jc w:val="both"/>
        <w:textAlignment w:val="baseline"/>
        <w:rPr>
          <w:rFonts w:ascii="Calibri" w:eastAsia="Calibri" w:hAnsi="Calibri"/>
          <w:color w:val="000000"/>
        </w:rPr>
      </w:pPr>
      <w:r>
        <w:rPr>
          <w:rFonts w:ascii="Calibri" w:eastAsia="Calibri" w:hAnsi="Calibri"/>
          <w:color w:val="000000"/>
        </w:rPr>
        <w:t>Amundi considers that a company contributes to an environmental or social objective (“Contribution Test”) if it follows best environmental and social practices and if its products and services do not by essence harm the environment and society.</w:t>
      </w:r>
    </w:p>
    <w:p w14:paraId="5242D896" w14:textId="77777777" w:rsidR="009275F5" w:rsidRDefault="009275F5">
      <w:pPr>
        <w:sectPr w:rsidR="009275F5">
          <w:pgSz w:w="11904" w:h="16843"/>
          <w:pgMar w:top="1440" w:right="1409" w:bottom="1367" w:left="1415" w:header="720" w:footer="720" w:gutter="0"/>
          <w:cols w:space="720"/>
        </w:sectPr>
      </w:pPr>
    </w:p>
    <w:p w14:paraId="697BD7DE" w14:textId="77777777" w:rsidR="009275F5" w:rsidRDefault="00BC2B5C">
      <w:pPr>
        <w:spacing w:before="44" w:line="222" w:lineRule="exact"/>
        <w:textAlignment w:val="baseline"/>
        <w:rPr>
          <w:rFonts w:ascii="Calibri" w:eastAsia="Calibri" w:hAnsi="Calibri"/>
          <w:color w:val="000000"/>
          <w:spacing w:val="-2"/>
        </w:rPr>
      </w:pPr>
      <w:r>
        <w:rPr>
          <w:rFonts w:ascii="Calibri" w:eastAsia="Calibri" w:hAnsi="Calibri"/>
          <w:color w:val="000000"/>
          <w:spacing w:val="-2"/>
        </w:rPr>
        <w:lastRenderedPageBreak/>
        <w:t>Amundi follows the two criteria outlined below to identify if a company can pass the Contribution Test:</w:t>
      </w:r>
    </w:p>
    <w:p w14:paraId="4F1556A2" w14:textId="77777777" w:rsidR="009275F5" w:rsidRDefault="00BC2B5C">
      <w:pPr>
        <w:numPr>
          <w:ilvl w:val="0"/>
          <w:numId w:val="4"/>
        </w:numPr>
        <w:tabs>
          <w:tab w:val="clear" w:pos="360"/>
          <w:tab w:val="left" w:pos="720"/>
        </w:tabs>
        <w:spacing w:before="186" w:line="269" w:lineRule="exact"/>
        <w:ind w:left="720" w:hanging="360"/>
        <w:jc w:val="both"/>
        <w:textAlignment w:val="baseline"/>
        <w:rPr>
          <w:rFonts w:ascii="Calibri" w:eastAsia="Calibri" w:hAnsi="Calibri"/>
          <w:b/>
          <w:color w:val="000000"/>
        </w:rPr>
      </w:pPr>
      <w:r>
        <w:rPr>
          <w:rFonts w:ascii="Calibri" w:eastAsia="Calibri" w:hAnsi="Calibri"/>
          <w:b/>
          <w:color w:val="000000"/>
        </w:rPr>
        <w:t>The company operates in an activity which is compatible with long-term sustainability and development goals.</w:t>
      </w:r>
    </w:p>
    <w:p w14:paraId="00A96FC7" w14:textId="77777777" w:rsidR="009275F5" w:rsidRDefault="00BC2B5C">
      <w:pPr>
        <w:spacing w:line="276" w:lineRule="exact"/>
        <w:jc w:val="both"/>
        <w:textAlignment w:val="baseline"/>
        <w:rPr>
          <w:rFonts w:ascii="Calibri" w:eastAsia="Calibri" w:hAnsi="Calibri"/>
          <w:color w:val="000000"/>
        </w:rPr>
      </w:pPr>
      <w:r>
        <w:rPr>
          <w:rFonts w:ascii="Calibri" w:eastAsia="Calibri" w:hAnsi="Calibri"/>
          <w:color w:val="000000"/>
        </w:rPr>
        <w:t>Amundi considers that a company is compatible with long-term sustainability and development goals if it does not have a significant exposure to the activities below:</w:t>
      </w:r>
    </w:p>
    <w:p w14:paraId="7F31E07C" w14:textId="77777777" w:rsidR="009275F5" w:rsidRDefault="00BC2B5C">
      <w:pPr>
        <w:tabs>
          <w:tab w:val="left" w:pos="720"/>
        </w:tabs>
        <w:spacing w:before="166" w:line="289" w:lineRule="exact"/>
        <w:ind w:left="720" w:hanging="360"/>
        <w:jc w:val="both"/>
        <w:textAlignment w:val="baseline"/>
        <w:rPr>
          <w:rFonts w:ascii="Calibri" w:eastAsia="Calibri" w:hAnsi="Calibri"/>
          <w:color w:val="000000"/>
        </w:rPr>
      </w:pPr>
      <w:r>
        <w:rPr>
          <w:rFonts w:ascii="Calibri" w:eastAsia="Calibri" w:hAnsi="Calibri"/>
          <w:color w:val="000000"/>
        </w:rPr>
        <w:t>–</w:t>
      </w:r>
      <w:r>
        <w:rPr>
          <w:rFonts w:ascii="Calibri" w:eastAsia="Calibri" w:hAnsi="Calibri"/>
          <w:color w:val="000000"/>
        </w:rPr>
        <w:tab/>
        <w:t>Activities listed as unsustainable in the Preliminary EU Social Taxonomy Report (July 2021): tobacco, weapons, gambling.</w:t>
      </w:r>
    </w:p>
    <w:p w14:paraId="377DE1EB" w14:textId="77777777" w:rsidR="009275F5" w:rsidRDefault="00BC2B5C">
      <w:pPr>
        <w:spacing w:before="2" w:line="289" w:lineRule="exact"/>
        <w:ind w:left="720" w:hanging="360"/>
        <w:jc w:val="both"/>
        <w:textAlignment w:val="baseline"/>
        <w:rPr>
          <w:rFonts w:ascii="Calibri" w:eastAsia="Calibri" w:hAnsi="Calibri"/>
          <w:color w:val="000000"/>
        </w:rPr>
      </w:pPr>
      <w:r>
        <w:rPr>
          <w:rFonts w:ascii="Calibri" w:eastAsia="Calibri" w:hAnsi="Calibri"/>
          <w:color w:val="000000"/>
        </w:rPr>
        <w:t>– Activities that must be significantly reduced or discontinued to achieve global carbon neutrality objectives: coal, hydrocarbons (all “upstream” activities and the most polluting downstream activities), most polluting activities (meat production, aviation, etc.).</w:t>
      </w:r>
    </w:p>
    <w:p w14:paraId="7350D6E6" w14:textId="77777777" w:rsidR="009275F5" w:rsidRDefault="00BC2B5C">
      <w:pPr>
        <w:spacing w:before="2" w:line="289" w:lineRule="exact"/>
        <w:ind w:left="720" w:hanging="360"/>
        <w:jc w:val="both"/>
        <w:textAlignment w:val="baseline"/>
        <w:rPr>
          <w:rFonts w:ascii="Calibri" w:eastAsia="Calibri" w:hAnsi="Calibri"/>
          <w:color w:val="000000"/>
        </w:rPr>
      </w:pPr>
      <w:r>
        <w:rPr>
          <w:rFonts w:ascii="Calibri" w:eastAsia="Calibri" w:hAnsi="Calibri"/>
          <w:color w:val="000000"/>
        </w:rPr>
        <w:t>– Activities that must be reduced in line with the EU strategy (“from farm to fork”) or have a significant negative impact on natural capital: fertilizer and pesticide manufacturing, single-use plastic production</w:t>
      </w:r>
    </w:p>
    <w:p w14:paraId="7F513049" w14:textId="77777777" w:rsidR="009275F5" w:rsidRDefault="00BC2B5C">
      <w:pPr>
        <w:numPr>
          <w:ilvl w:val="0"/>
          <w:numId w:val="4"/>
        </w:numPr>
        <w:tabs>
          <w:tab w:val="clear" w:pos="360"/>
          <w:tab w:val="left" w:pos="720"/>
        </w:tabs>
        <w:spacing w:before="67" w:line="226" w:lineRule="exact"/>
        <w:ind w:left="720" w:hanging="360"/>
        <w:textAlignment w:val="baseline"/>
        <w:rPr>
          <w:rFonts w:ascii="Calibri" w:eastAsia="Calibri" w:hAnsi="Calibri"/>
          <w:b/>
          <w:color w:val="000000"/>
        </w:rPr>
      </w:pPr>
      <w:r>
        <w:rPr>
          <w:rFonts w:ascii="Calibri" w:eastAsia="Calibri" w:hAnsi="Calibri"/>
          <w:b/>
          <w:color w:val="000000"/>
        </w:rPr>
        <w:t>The company contributes to long-term sustainability objectives</w:t>
      </w:r>
    </w:p>
    <w:p w14:paraId="68B64EBD" w14:textId="77777777" w:rsidR="009275F5" w:rsidRDefault="00BC2B5C">
      <w:pPr>
        <w:spacing w:line="286" w:lineRule="exact"/>
        <w:jc w:val="both"/>
        <w:textAlignment w:val="baseline"/>
        <w:rPr>
          <w:rFonts w:ascii="Calibri" w:eastAsia="Calibri" w:hAnsi="Calibri"/>
          <w:color w:val="000000"/>
        </w:rPr>
      </w:pPr>
      <w:r>
        <w:rPr>
          <w:rFonts w:ascii="Calibri" w:eastAsia="Calibri" w:hAnsi="Calibri"/>
          <w:color w:val="000000"/>
        </w:rPr>
        <w:t>Amundi considers that to contribute to long-term sustainability and development goals, a company must be a “best performer” within its sector of activity on at least one of its material environmental or social factors. The definition of best performing companies relies on Amundi’s ESG methodology which aims to measure the ESG performance of an issuer on relative terms in order to be considered “best performer”, Amundi considers that a company must perform within the top third of the companies within its sec</w:t>
      </w:r>
      <w:r>
        <w:rPr>
          <w:rFonts w:ascii="Calibri" w:eastAsia="Calibri" w:hAnsi="Calibri"/>
          <w:color w:val="000000"/>
        </w:rPr>
        <w:t>tor on at least one material environmental or social factor. This corresponds to a C score on Amundi’s ESG scoring methodology which goes from G to A (A being the best score). Following a double materiality rationale, this approach only applies to environmental and social factors that are material for the sector in which the company operates.</w:t>
      </w:r>
    </w:p>
    <w:p w14:paraId="34F789FE" w14:textId="77777777" w:rsidR="009275F5" w:rsidRDefault="00BC2B5C">
      <w:pPr>
        <w:spacing w:before="164" w:line="289" w:lineRule="exact"/>
        <w:jc w:val="both"/>
        <w:textAlignment w:val="baseline"/>
        <w:rPr>
          <w:rFonts w:ascii="Calibri" w:eastAsia="Calibri" w:hAnsi="Calibri"/>
          <w:color w:val="000000"/>
        </w:rPr>
      </w:pPr>
      <w:r>
        <w:rPr>
          <w:rFonts w:ascii="Calibri" w:eastAsia="Calibri" w:hAnsi="Calibri"/>
          <w:color w:val="000000"/>
        </w:rPr>
        <w:t>Green, social and sustainable (GSS) instruments, as defined by the International Capital Market Association (“ICMA”), and structured in accordance with its principles or guidelines contribute by design to an environmental and social objective and are deemed to pass the Contribution Test, provided that:</w:t>
      </w:r>
    </w:p>
    <w:p w14:paraId="1775AD3E" w14:textId="77777777" w:rsidR="009275F5" w:rsidRDefault="00BC2B5C">
      <w:pPr>
        <w:spacing w:before="161" w:line="289" w:lineRule="exact"/>
        <w:ind w:left="720" w:hanging="360"/>
        <w:jc w:val="both"/>
        <w:textAlignment w:val="baseline"/>
        <w:rPr>
          <w:rFonts w:ascii="Calibri" w:eastAsia="Calibri" w:hAnsi="Calibri"/>
          <w:color w:val="000000"/>
        </w:rPr>
      </w:pPr>
      <w:r>
        <w:rPr>
          <w:rFonts w:ascii="Calibri" w:eastAsia="Calibri" w:hAnsi="Calibri"/>
          <w:color w:val="000000"/>
        </w:rPr>
        <w:t>– Where applicable, the issuers operate in an activity which is compatible with long-term sustainability and development goals; or</w:t>
      </w:r>
    </w:p>
    <w:p w14:paraId="1883E071" w14:textId="77777777" w:rsidR="009275F5" w:rsidRDefault="00BC2B5C">
      <w:pPr>
        <w:spacing w:before="2" w:line="289" w:lineRule="exact"/>
        <w:ind w:left="720" w:hanging="360"/>
        <w:jc w:val="both"/>
        <w:textAlignment w:val="baseline"/>
        <w:rPr>
          <w:rFonts w:ascii="Calibri" w:eastAsia="Calibri" w:hAnsi="Calibri"/>
          <w:color w:val="000000"/>
        </w:rPr>
      </w:pPr>
      <w:r>
        <w:rPr>
          <w:rFonts w:ascii="Calibri" w:eastAsia="Calibri" w:hAnsi="Calibri"/>
          <w:color w:val="000000"/>
        </w:rPr>
        <w:t>– The GSS instruments have been analyzed by Amundi ESG analysts and comply with Amundi GSS requirements (including on funding rationale, issuer ESG performance, project analysis and transparency).</w:t>
      </w:r>
    </w:p>
    <w:p w14:paraId="16461C61" w14:textId="77777777" w:rsidR="009275F5" w:rsidRDefault="00BC2B5C">
      <w:pPr>
        <w:numPr>
          <w:ilvl w:val="0"/>
          <w:numId w:val="5"/>
        </w:numPr>
        <w:tabs>
          <w:tab w:val="clear" w:pos="360"/>
          <w:tab w:val="left" w:pos="720"/>
        </w:tabs>
        <w:spacing w:before="72" w:line="225" w:lineRule="exact"/>
        <w:ind w:left="720" w:hanging="360"/>
        <w:textAlignment w:val="baseline"/>
        <w:rPr>
          <w:rFonts w:ascii="Calibri" w:eastAsia="Calibri" w:hAnsi="Calibri"/>
          <w:b/>
          <w:color w:val="000000"/>
          <w:spacing w:val="-2"/>
        </w:rPr>
      </w:pPr>
      <w:r>
        <w:rPr>
          <w:rFonts w:ascii="Calibri" w:eastAsia="Calibri" w:hAnsi="Calibri"/>
          <w:b/>
          <w:color w:val="000000"/>
          <w:spacing w:val="-2"/>
        </w:rPr>
        <w:t>DNSH</w:t>
      </w:r>
    </w:p>
    <w:p w14:paraId="1ABB7A1A" w14:textId="77777777" w:rsidR="009275F5" w:rsidRDefault="00BC2B5C">
      <w:pPr>
        <w:spacing w:before="43" w:line="222" w:lineRule="exact"/>
        <w:textAlignment w:val="baseline"/>
        <w:rPr>
          <w:rFonts w:ascii="Calibri" w:eastAsia="Calibri" w:hAnsi="Calibri"/>
          <w:color w:val="000000"/>
        </w:rPr>
      </w:pPr>
      <w:r>
        <w:rPr>
          <w:rFonts w:ascii="Calibri" w:eastAsia="Calibri" w:hAnsi="Calibri"/>
          <w:color w:val="000000"/>
        </w:rPr>
        <w:t>For details about the DNSH test, please see the “No significant harm to the sustainable investment</w:t>
      </w:r>
    </w:p>
    <w:p w14:paraId="2547E827" w14:textId="77777777" w:rsidR="009275F5" w:rsidRDefault="00BC2B5C">
      <w:pPr>
        <w:spacing w:before="66" w:line="222" w:lineRule="exact"/>
        <w:textAlignment w:val="baseline"/>
        <w:rPr>
          <w:rFonts w:ascii="Calibri" w:eastAsia="Calibri" w:hAnsi="Calibri"/>
          <w:color w:val="000000"/>
        </w:rPr>
      </w:pPr>
      <w:r>
        <w:rPr>
          <w:rFonts w:ascii="Calibri" w:eastAsia="Calibri" w:hAnsi="Calibri"/>
          <w:color w:val="000000"/>
        </w:rPr>
        <w:t>objective” section above.</w:t>
      </w:r>
    </w:p>
    <w:p w14:paraId="52A1D631" w14:textId="77777777" w:rsidR="009275F5" w:rsidRDefault="00BC2B5C">
      <w:pPr>
        <w:numPr>
          <w:ilvl w:val="0"/>
          <w:numId w:val="5"/>
        </w:numPr>
        <w:tabs>
          <w:tab w:val="clear" w:pos="360"/>
          <w:tab w:val="left" w:pos="720"/>
        </w:tabs>
        <w:spacing w:before="230" w:line="225" w:lineRule="exact"/>
        <w:ind w:left="720" w:hanging="360"/>
        <w:textAlignment w:val="baseline"/>
        <w:rPr>
          <w:rFonts w:ascii="Calibri" w:eastAsia="Calibri" w:hAnsi="Calibri"/>
          <w:b/>
          <w:color w:val="000000"/>
        </w:rPr>
      </w:pPr>
      <w:r>
        <w:rPr>
          <w:rFonts w:ascii="Calibri" w:eastAsia="Calibri" w:hAnsi="Calibri"/>
          <w:b/>
          <w:color w:val="000000"/>
        </w:rPr>
        <w:t>Good Governance</w:t>
      </w:r>
    </w:p>
    <w:p w14:paraId="25A2EE38" w14:textId="77777777" w:rsidR="009275F5" w:rsidRDefault="00BC2B5C">
      <w:pPr>
        <w:spacing w:before="43" w:line="222" w:lineRule="exact"/>
        <w:textAlignment w:val="baseline"/>
        <w:rPr>
          <w:rFonts w:ascii="Calibri" w:eastAsia="Calibri" w:hAnsi="Calibri"/>
          <w:color w:val="000000"/>
          <w:spacing w:val="5"/>
        </w:rPr>
      </w:pPr>
      <w:r>
        <w:rPr>
          <w:rFonts w:ascii="Calibri" w:eastAsia="Calibri" w:hAnsi="Calibri"/>
          <w:color w:val="000000"/>
          <w:spacing w:val="5"/>
        </w:rPr>
        <w:t>Amundi relies on its ESG scoring methodology in order to ensure that a company follows good</w:t>
      </w:r>
    </w:p>
    <w:p w14:paraId="76999AB4" w14:textId="77777777" w:rsidR="009275F5" w:rsidRDefault="00BC2B5C">
      <w:pPr>
        <w:spacing w:before="66" w:line="222" w:lineRule="exact"/>
        <w:textAlignment w:val="baseline"/>
        <w:rPr>
          <w:rFonts w:ascii="Calibri" w:eastAsia="Calibri" w:hAnsi="Calibri"/>
          <w:color w:val="000000"/>
        </w:rPr>
      </w:pPr>
      <w:r>
        <w:rPr>
          <w:rFonts w:ascii="Calibri" w:eastAsia="Calibri" w:hAnsi="Calibri"/>
          <w:color w:val="000000"/>
        </w:rPr>
        <w:t>governance practices. Amundi has defines the three criteria below:</w:t>
      </w:r>
    </w:p>
    <w:p w14:paraId="7DD0ECB7" w14:textId="77777777" w:rsidR="009275F5" w:rsidRDefault="00BC2B5C">
      <w:pPr>
        <w:spacing w:before="161" w:line="289" w:lineRule="exact"/>
        <w:ind w:left="720" w:hanging="360"/>
        <w:jc w:val="both"/>
        <w:textAlignment w:val="baseline"/>
        <w:rPr>
          <w:rFonts w:ascii="Calibri" w:eastAsia="Calibri" w:hAnsi="Calibri"/>
          <w:color w:val="000000"/>
        </w:rPr>
      </w:pPr>
      <w:r>
        <w:rPr>
          <w:rFonts w:ascii="Calibri" w:eastAsia="Calibri" w:hAnsi="Calibri"/>
          <w:color w:val="000000"/>
        </w:rPr>
        <w:t>– A company should have an overall governance score better or equal to E. This governance score is the combination of multiple governance criteria.</w:t>
      </w:r>
    </w:p>
    <w:p w14:paraId="5316161A" w14:textId="77777777" w:rsidR="009275F5" w:rsidRDefault="00BC2B5C">
      <w:pPr>
        <w:tabs>
          <w:tab w:val="left" w:pos="720"/>
        </w:tabs>
        <w:spacing w:before="2" w:line="287" w:lineRule="exact"/>
        <w:ind w:left="720" w:hanging="360"/>
        <w:jc w:val="both"/>
        <w:textAlignment w:val="baseline"/>
        <w:rPr>
          <w:rFonts w:ascii="Calibri" w:eastAsia="Calibri" w:hAnsi="Calibri"/>
          <w:color w:val="000000"/>
        </w:rPr>
      </w:pPr>
      <w:r>
        <w:rPr>
          <w:rFonts w:ascii="Calibri" w:eastAsia="Calibri" w:hAnsi="Calibri"/>
          <w:color w:val="000000"/>
        </w:rPr>
        <w:t>–</w:t>
      </w:r>
      <w:r>
        <w:rPr>
          <w:rFonts w:ascii="Calibri" w:eastAsia="Calibri" w:hAnsi="Calibri"/>
          <w:color w:val="000000"/>
        </w:rPr>
        <w:tab/>
        <w:t>On some specific governance criteria (namely deontology, board of directors’ structure, audit &amp; control) a company should have at least two of them (out of the three) with a score better or equal to E.</w:t>
      </w:r>
    </w:p>
    <w:p w14:paraId="115AB366" w14:textId="77777777" w:rsidR="009275F5" w:rsidRDefault="009275F5">
      <w:pPr>
        <w:sectPr w:rsidR="009275F5">
          <w:pgSz w:w="11904" w:h="16843"/>
          <w:pgMar w:top="1400" w:right="1407" w:bottom="1747" w:left="1417" w:header="720" w:footer="720" w:gutter="0"/>
          <w:cols w:space="720"/>
        </w:sectPr>
      </w:pPr>
    </w:p>
    <w:p w14:paraId="5FA0FC43" w14:textId="77777777" w:rsidR="009275F5" w:rsidRDefault="00BC2B5C">
      <w:pPr>
        <w:spacing w:before="18" w:line="290" w:lineRule="exact"/>
        <w:jc w:val="both"/>
        <w:textAlignment w:val="baseline"/>
        <w:rPr>
          <w:rFonts w:ascii="Calibri" w:eastAsia="Calibri" w:hAnsi="Calibri"/>
          <w:color w:val="000000"/>
        </w:rPr>
      </w:pPr>
      <w:r>
        <w:rPr>
          <w:rFonts w:ascii="Calibri" w:eastAsia="Calibri" w:hAnsi="Calibri"/>
          <w:color w:val="000000"/>
        </w:rPr>
        <w:lastRenderedPageBreak/>
        <w:t>The company should not have any of the three previous governance criteria with a score of G (the worst score in Amundi’s ESG methodology).</w:t>
      </w:r>
    </w:p>
    <w:p w14:paraId="3DFA76A0" w14:textId="77777777" w:rsidR="009275F5" w:rsidRDefault="00BC2B5C">
      <w:pPr>
        <w:spacing w:before="160" w:line="290" w:lineRule="exact"/>
        <w:jc w:val="both"/>
        <w:textAlignment w:val="baseline"/>
        <w:rPr>
          <w:rFonts w:ascii="Calibri" w:eastAsia="Calibri" w:hAnsi="Calibri"/>
          <w:color w:val="000000"/>
        </w:rPr>
      </w:pPr>
      <w:r>
        <w:rPr>
          <w:rFonts w:ascii="Calibri" w:eastAsia="Calibri" w:hAnsi="Calibri"/>
          <w:color w:val="000000"/>
        </w:rPr>
        <w:t>Amundi applies its DNSH tests and good governance criteria to green, social, sustainable, and sustainability linked financial instruments issued by corporates.</w:t>
      </w:r>
    </w:p>
    <w:p w14:paraId="4CA59B43" w14:textId="77777777" w:rsidR="009275F5" w:rsidRDefault="00BC2B5C">
      <w:pPr>
        <w:spacing w:before="663" w:line="749" w:lineRule="exact"/>
        <w:textAlignment w:val="baseline"/>
        <w:rPr>
          <w:rFonts w:ascii="Tahoma" w:eastAsia="Tahoma" w:hAnsi="Tahoma"/>
          <w:color w:val="000000"/>
          <w:sz w:val="21"/>
        </w:rPr>
      </w:pPr>
      <w:r>
        <w:rPr>
          <w:rFonts w:ascii="Tahoma" w:eastAsia="Tahoma" w:hAnsi="Tahoma"/>
          <w:color w:val="000000"/>
          <w:sz w:val="21"/>
        </w:rPr>
        <w:t xml:space="preserve">Data sources and processing </w:t>
      </w:r>
      <w:r>
        <w:rPr>
          <w:rFonts w:ascii="Tahoma" w:eastAsia="Tahoma" w:hAnsi="Tahoma"/>
          <w:color w:val="000000"/>
          <w:sz w:val="21"/>
        </w:rPr>
        <w:br/>
      </w:r>
      <w:r>
        <w:rPr>
          <w:rFonts w:ascii="Calibri" w:eastAsia="Calibri" w:hAnsi="Calibri"/>
          <w:b/>
          <w:color w:val="000000"/>
        </w:rPr>
        <w:t>GSS bond data sources</w:t>
      </w:r>
    </w:p>
    <w:p w14:paraId="08422997" w14:textId="77777777" w:rsidR="009275F5" w:rsidRDefault="00BC2B5C">
      <w:pPr>
        <w:spacing w:before="136" w:line="290" w:lineRule="exact"/>
        <w:jc w:val="both"/>
        <w:textAlignment w:val="baseline"/>
        <w:rPr>
          <w:rFonts w:ascii="Calibri" w:eastAsia="Calibri" w:hAnsi="Calibri"/>
          <w:color w:val="000000"/>
        </w:rPr>
      </w:pPr>
      <w:r>
        <w:rPr>
          <w:rFonts w:ascii="Calibri" w:eastAsia="Calibri" w:hAnsi="Calibri"/>
          <w:color w:val="000000"/>
        </w:rPr>
        <w:t>Amundi relies on Bloomberg and Climate Bonds Initiative as a source of information regarding the alignment of green, social, sustainable and sustainability-linked bonds with ICMA principles, their use of proceeds, and their impact reporting. These data sources also inform the analysis of our ESG analysts for the compliance of the bonds with Amundi GSS framework, in addition to reported data from issuers.</w:t>
      </w:r>
    </w:p>
    <w:p w14:paraId="6D424DEF" w14:textId="77777777" w:rsidR="009275F5" w:rsidRDefault="00BC2B5C">
      <w:pPr>
        <w:spacing w:before="682" w:line="242" w:lineRule="exact"/>
        <w:textAlignment w:val="baseline"/>
        <w:rPr>
          <w:rFonts w:ascii="Calibri" w:eastAsia="Calibri" w:hAnsi="Calibri"/>
          <w:b/>
          <w:color w:val="000000"/>
        </w:rPr>
      </w:pPr>
      <w:r>
        <w:rPr>
          <w:rFonts w:ascii="Calibri" w:eastAsia="Calibri" w:hAnsi="Calibri"/>
          <w:b/>
          <w:color w:val="000000"/>
        </w:rPr>
        <w:t>Issuer-level data sources</w:t>
      </w:r>
    </w:p>
    <w:p w14:paraId="23B4BFFD" w14:textId="77777777" w:rsidR="009275F5" w:rsidRDefault="00BC2B5C">
      <w:pPr>
        <w:spacing w:before="140" w:line="290" w:lineRule="exact"/>
        <w:jc w:val="both"/>
        <w:textAlignment w:val="baseline"/>
        <w:rPr>
          <w:rFonts w:ascii="Calibri" w:eastAsia="Calibri" w:hAnsi="Calibri"/>
          <w:color w:val="000000"/>
        </w:rPr>
      </w:pPr>
      <w:r>
        <w:rPr>
          <w:rFonts w:ascii="Calibri" w:eastAsia="Calibri" w:hAnsi="Calibri"/>
          <w:color w:val="000000"/>
        </w:rPr>
        <w:t>To carry out the Contribution test, the DNSH test and the Good Governance tests described in the “Methodologies” section, we source data from the following sources: Moody’s, ISS-</w:t>
      </w:r>
      <w:proofErr w:type="spellStart"/>
      <w:r>
        <w:rPr>
          <w:rFonts w:ascii="Calibri" w:eastAsia="Calibri" w:hAnsi="Calibri"/>
          <w:color w:val="000000"/>
        </w:rPr>
        <w:t>Oekom</w:t>
      </w:r>
      <w:proofErr w:type="spellEnd"/>
      <w:r>
        <w:rPr>
          <w:rFonts w:ascii="Calibri" w:eastAsia="Calibri" w:hAnsi="Calibri"/>
          <w:color w:val="000000"/>
        </w:rPr>
        <w:t xml:space="preserve">, MSCI, </w:t>
      </w:r>
      <w:proofErr w:type="spellStart"/>
      <w:r>
        <w:rPr>
          <w:rFonts w:ascii="Calibri" w:eastAsia="Calibri" w:hAnsi="Calibri"/>
          <w:color w:val="000000"/>
        </w:rPr>
        <w:t>Trucost</w:t>
      </w:r>
      <w:proofErr w:type="spellEnd"/>
      <w:r>
        <w:rPr>
          <w:rFonts w:ascii="Calibri" w:eastAsia="Calibri" w:hAnsi="Calibri"/>
          <w:color w:val="000000"/>
        </w:rPr>
        <w:t xml:space="preserve">, CDP, Verisk Maplecroft, Refinitiv, </w:t>
      </w:r>
      <w:proofErr w:type="spellStart"/>
      <w:r>
        <w:rPr>
          <w:rFonts w:ascii="Calibri" w:eastAsia="Calibri" w:hAnsi="Calibri"/>
          <w:color w:val="000000"/>
        </w:rPr>
        <w:t>RepRisk</w:t>
      </w:r>
      <w:proofErr w:type="spellEnd"/>
      <w:r>
        <w:rPr>
          <w:rFonts w:ascii="Calibri" w:eastAsia="Calibri" w:hAnsi="Calibri"/>
          <w:color w:val="000000"/>
        </w:rPr>
        <w:t xml:space="preserve"> and Sustainalytics. In addition to direct access of our ESG analysts to reported data from issuers.</w:t>
      </w:r>
    </w:p>
    <w:p w14:paraId="6836119E" w14:textId="77777777" w:rsidR="009275F5" w:rsidRDefault="00BC2B5C">
      <w:pPr>
        <w:spacing w:before="606" w:line="290" w:lineRule="exact"/>
        <w:jc w:val="both"/>
        <w:textAlignment w:val="baseline"/>
        <w:rPr>
          <w:rFonts w:ascii="Calibri" w:eastAsia="Calibri" w:hAnsi="Calibri"/>
          <w:color w:val="000000"/>
        </w:rPr>
      </w:pPr>
      <w:r>
        <w:rPr>
          <w:rFonts w:ascii="Calibri" w:eastAsia="Calibri" w:hAnsi="Calibri"/>
          <w:color w:val="000000"/>
        </w:rPr>
        <w:t>Data quality controls of external data providers are managed by the Global Data Management unit. Controls are deployed at different steps of the value chain, from pre-integration controls, post-integration ones, to post-calculation ones like controls on proprietary scores for instance. External data are collected and controlled by the Global Data Management team and are plugged into the SRI module. The SRI module is a proprietary tool that ensures the collection, quality check and processing of ESG data fro</w:t>
      </w:r>
      <w:r>
        <w:rPr>
          <w:rFonts w:ascii="Calibri" w:eastAsia="Calibri" w:hAnsi="Calibri"/>
          <w:color w:val="000000"/>
        </w:rPr>
        <w:t>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w:t>
      </w:r>
    </w:p>
    <w:p w14:paraId="7D4EC9E3" w14:textId="77777777" w:rsidR="009275F5" w:rsidRDefault="00BC2B5C">
      <w:pPr>
        <w:spacing w:before="155" w:line="290" w:lineRule="exact"/>
        <w:jc w:val="both"/>
        <w:textAlignment w:val="baseline"/>
        <w:rPr>
          <w:rFonts w:ascii="Calibri" w:eastAsia="Calibri" w:hAnsi="Calibri"/>
          <w:color w:val="000000"/>
        </w:rPr>
      </w:pPr>
      <w:r>
        <w:rPr>
          <w:rFonts w:ascii="Calibri" w:eastAsia="Calibri" w:hAnsi="Calibri"/>
          <w:color w:val="000000"/>
        </w:rPr>
        <w:t xml:space="preserve">For ESG ratings, at each stage of the calculation process, the scores are </w:t>
      </w:r>
      <w:proofErr w:type="spellStart"/>
      <w:r>
        <w:rPr>
          <w:rFonts w:ascii="Calibri" w:eastAsia="Calibri" w:hAnsi="Calibri"/>
          <w:color w:val="000000"/>
        </w:rPr>
        <w:t>normalised</w:t>
      </w:r>
      <w:proofErr w:type="spellEnd"/>
      <w:r>
        <w:rPr>
          <w:rFonts w:ascii="Calibri" w:eastAsia="Calibri" w:hAnsi="Calibri"/>
          <w:color w:val="000000"/>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standard deviations) and the equivalent on a letter scale from A to G, whe</w:t>
      </w:r>
      <w:r>
        <w:rPr>
          <w:rFonts w:ascii="Calibri" w:eastAsia="Calibri" w:hAnsi="Calibri"/>
          <w:color w:val="000000"/>
        </w:rPr>
        <w:t>re A is the best, and G the worst. Data is then disseminated via Alto front office to portfolio managers and is monitored by the risk team.</w:t>
      </w:r>
    </w:p>
    <w:p w14:paraId="52A41475" w14:textId="77777777" w:rsidR="009275F5" w:rsidRDefault="00BC2B5C">
      <w:pPr>
        <w:spacing w:before="166" w:line="290" w:lineRule="exact"/>
        <w:jc w:val="both"/>
        <w:textAlignment w:val="baseline"/>
        <w:rPr>
          <w:rFonts w:ascii="Calibri" w:eastAsia="Calibri" w:hAnsi="Calibri"/>
          <w:color w:val="000000"/>
          <w:spacing w:val="-1"/>
        </w:rPr>
      </w:pPr>
      <w:r>
        <w:rPr>
          <w:rFonts w:ascii="Calibri" w:eastAsia="Calibri" w:hAnsi="Calibri"/>
          <w:color w:val="000000"/>
          <w:spacing w:val="-1"/>
        </w:rPr>
        <w:t xml:space="preserve">ESG scores utilize data derived from external data providers, internal ESG assessment/research conducted by Amundi, or through a regulated third party </w:t>
      </w:r>
      <w:proofErr w:type="spellStart"/>
      <w:r>
        <w:rPr>
          <w:rFonts w:ascii="Calibri" w:eastAsia="Calibri" w:hAnsi="Calibri"/>
          <w:color w:val="000000"/>
          <w:spacing w:val="-1"/>
        </w:rPr>
        <w:t>recognised</w:t>
      </w:r>
      <w:proofErr w:type="spellEnd"/>
      <w:r>
        <w:rPr>
          <w:rFonts w:ascii="Calibri" w:eastAsia="Calibri" w:hAnsi="Calibri"/>
          <w:color w:val="000000"/>
          <w:spacing w:val="-1"/>
        </w:rPr>
        <w:t xml:space="preserve"> for the provision of professional</w:t>
      </w:r>
    </w:p>
    <w:p w14:paraId="7BB1A43E" w14:textId="77777777" w:rsidR="009275F5" w:rsidRDefault="009275F5">
      <w:pPr>
        <w:sectPr w:rsidR="009275F5">
          <w:pgSz w:w="11904" w:h="16843"/>
          <w:pgMar w:top="1360" w:right="1405" w:bottom="1327" w:left="1415" w:header="720" w:footer="720" w:gutter="0"/>
          <w:cols w:space="720"/>
        </w:sectPr>
      </w:pPr>
    </w:p>
    <w:p w14:paraId="68F6D342" w14:textId="77777777" w:rsidR="009275F5" w:rsidRDefault="00BC2B5C">
      <w:pPr>
        <w:spacing w:before="20" w:line="289" w:lineRule="exact"/>
        <w:jc w:val="both"/>
        <w:textAlignment w:val="baseline"/>
        <w:rPr>
          <w:rFonts w:ascii="Calibri" w:eastAsia="Calibri" w:hAnsi="Calibri"/>
          <w:color w:val="000000"/>
        </w:rPr>
      </w:pPr>
      <w:r>
        <w:rPr>
          <w:rFonts w:ascii="Calibri" w:eastAsia="Calibri" w:hAnsi="Calibri"/>
          <w:color w:val="000000"/>
        </w:rPr>
        <w:lastRenderedPageBreak/>
        <w:t>ESG scoring and assessment. Without mandatory ESG reporting at company level, estimations are a core component of data providers' methodology.</w:t>
      </w:r>
    </w:p>
    <w:p w14:paraId="60138B2D" w14:textId="77777777" w:rsidR="009275F5" w:rsidRDefault="00BC2B5C">
      <w:pPr>
        <w:spacing w:before="690" w:line="256" w:lineRule="exact"/>
        <w:textAlignment w:val="baseline"/>
        <w:rPr>
          <w:rFonts w:ascii="Tahoma" w:eastAsia="Tahoma" w:hAnsi="Tahoma"/>
          <w:color w:val="000000"/>
          <w:spacing w:val="11"/>
          <w:sz w:val="21"/>
        </w:rPr>
      </w:pPr>
      <w:r>
        <w:rPr>
          <w:rFonts w:ascii="Tahoma" w:eastAsia="Tahoma" w:hAnsi="Tahoma"/>
          <w:color w:val="000000"/>
          <w:spacing w:val="11"/>
          <w:sz w:val="21"/>
        </w:rPr>
        <w:t>Limitations to methodologies and data</w:t>
      </w:r>
    </w:p>
    <w:p w14:paraId="68CF3561" w14:textId="77777777" w:rsidR="009275F5" w:rsidRDefault="00BC2B5C">
      <w:pPr>
        <w:spacing w:before="457" w:line="289" w:lineRule="exact"/>
        <w:textAlignment w:val="baseline"/>
        <w:rPr>
          <w:rFonts w:ascii="Calibri" w:eastAsia="Calibri" w:hAnsi="Calibri"/>
          <w:color w:val="000000"/>
        </w:rPr>
      </w:pPr>
      <w:r>
        <w:rPr>
          <w:rFonts w:ascii="Calibri" w:eastAsia="Calibri" w:hAnsi="Calibri"/>
          <w:color w:val="000000"/>
        </w:rPr>
        <w:t>Our methodology limitations are by construction linked to use of ESG data. The ESG data landscape is currently being standardized, which can impact data quality; data coverage also is a limitation. Current and future regulation will improve standardized reporting and corporate disclosures on which ESG data rely.</w:t>
      </w:r>
    </w:p>
    <w:p w14:paraId="703FC9FD" w14:textId="77777777" w:rsidR="009275F5" w:rsidRDefault="00BC2B5C">
      <w:pPr>
        <w:spacing w:before="681" w:line="221" w:lineRule="exact"/>
        <w:textAlignment w:val="baseline"/>
        <w:rPr>
          <w:rFonts w:ascii="Calibri" w:eastAsia="Calibri" w:hAnsi="Calibri"/>
          <w:color w:val="000000"/>
        </w:rPr>
      </w:pPr>
      <w:r>
        <w:rPr>
          <w:rFonts w:ascii="Calibri" w:eastAsia="Calibri" w:hAnsi="Calibri"/>
          <w:color w:val="000000"/>
        </w:rPr>
        <w:t>We are aware of these limitations which we mitigate by a combination of approaches: the</w:t>
      </w:r>
    </w:p>
    <w:p w14:paraId="5A34E37F" w14:textId="77777777" w:rsidR="009275F5" w:rsidRDefault="00BC2B5C">
      <w:pPr>
        <w:spacing w:before="3" w:line="289" w:lineRule="exact"/>
        <w:jc w:val="both"/>
        <w:textAlignment w:val="baseline"/>
        <w:rPr>
          <w:rFonts w:ascii="Calibri" w:eastAsia="Calibri" w:hAnsi="Calibri"/>
          <w:color w:val="000000"/>
        </w:rPr>
      </w:pPr>
      <w:r>
        <w:rPr>
          <w:rFonts w:ascii="Calibri" w:eastAsia="Calibri" w:hAnsi="Calibri"/>
          <w:color w:val="000000"/>
        </w:rPr>
        <w:t>monitoring of controversies, the use of several data providers, a structured qualitative assessment by our ESG research team of the ESG scores, the implementation of a strong governance.</w:t>
      </w:r>
    </w:p>
    <w:p w14:paraId="3A087141" w14:textId="77777777" w:rsidR="009275F5" w:rsidRDefault="00BC2B5C">
      <w:pPr>
        <w:spacing w:before="1136" w:line="256" w:lineRule="exact"/>
        <w:textAlignment w:val="baseline"/>
        <w:rPr>
          <w:rFonts w:ascii="Tahoma" w:eastAsia="Tahoma" w:hAnsi="Tahoma"/>
          <w:color w:val="000000"/>
          <w:spacing w:val="9"/>
          <w:sz w:val="21"/>
        </w:rPr>
      </w:pPr>
      <w:r>
        <w:rPr>
          <w:rFonts w:ascii="Tahoma" w:eastAsia="Tahoma" w:hAnsi="Tahoma"/>
          <w:color w:val="000000"/>
          <w:spacing w:val="9"/>
          <w:sz w:val="21"/>
        </w:rPr>
        <w:t>Due diligence</w:t>
      </w:r>
    </w:p>
    <w:p w14:paraId="70ED9697" w14:textId="77777777" w:rsidR="009275F5" w:rsidRDefault="00BC2B5C">
      <w:pPr>
        <w:spacing w:before="463" w:line="289" w:lineRule="exact"/>
        <w:jc w:val="both"/>
        <w:textAlignment w:val="baseline"/>
        <w:rPr>
          <w:rFonts w:ascii="Calibri" w:eastAsia="Calibri" w:hAnsi="Calibri"/>
          <w:color w:val="000000"/>
          <w:spacing w:val="-1"/>
        </w:rPr>
      </w:pPr>
      <w:r>
        <w:rPr>
          <w:rFonts w:ascii="Calibri" w:eastAsia="Calibri" w:hAnsi="Calibri"/>
          <w:color w:val="000000"/>
          <w:spacing w:val="-1"/>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w:t>
      </w:r>
      <w:r>
        <w:rPr>
          <w:rFonts w:ascii="Calibri" w:eastAsia="Calibri" w:hAnsi="Calibri"/>
          <w:color w:val="000000"/>
          <w:spacing w:val="-1"/>
        </w:rPr>
        <w:t xml:space="preserve">alidated by the management of the team and is documented by a note stored in Amundi database </w:t>
      </w:r>
      <w:proofErr w:type="spellStart"/>
      <w:r>
        <w:rPr>
          <w:rFonts w:ascii="Calibri" w:eastAsia="Calibri" w:hAnsi="Calibri"/>
          <w:color w:val="000000"/>
          <w:spacing w:val="-1"/>
        </w:rPr>
        <w:t>iPortal</w:t>
      </w:r>
      <w:proofErr w:type="spellEnd"/>
      <w:r>
        <w:rPr>
          <w:rFonts w:ascii="Calibri" w:eastAsia="Calibri" w:hAnsi="Calibri"/>
          <w:color w:val="000000"/>
          <w:spacing w:val="-1"/>
        </w:rPr>
        <w:t>. This can also be subject to a validation of the ESG Rating Committee.</w:t>
      </w:r>
    </w:p>
    <w:p w14:paraId="65B6FFBC" w14:textId="77777777" w:rsidR="009275F5" w:rsidRDefault="00BC2B5C">
      <w:pPr>
        <w:spacing w:before="166" w:line="289" w:lineRule="exact"/>
        <w:jc w:val="both"/>
        <w:textAlignment w:val="baseline"/>
        <w:rPr>
          <w:rFonts w:ascii="Calibri" w:eastAsia="Calibri" w:hAnsi="Calibri"/>
          <w:color w:val="000000"/>
        </w:rPr>
      </w:pPr>
      <w:r>
        <w:rPr>
          <w:rFonts w:ascii="Calibri" w:eastAsia="Calibri" w:hAnsi="Calibri"/>
          <w:color w:val="000000"/>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w:t>
      </w:r>
      <w:r>
        <w:rPr>
          <w:rFonts w:ascii="Calibri" w:eastAsia="Calibri" w:hAnsi="Calibri"/>
          <w:color w:val="000000"/>
        </w:rPr>
        <w:t>lerting fund managers and requiring that portfolios are brought back into compliance as soon as possible and in the best interest of investors.</w:t>
      </w:r>
    </w:p>
    <w:p w14:paraId="387DCA41" w14:textId="77777777" w:rsidR="009275F5" w:rsidRDefault="00BC2B5C">
      <w:pPr>
        <w:spacing w:before="1141" w:line="256" w:lineRule="exact"/>
        <w:textAlignment w:val="baseline"/>
        <w:rPr>
          <w:rFonts w:ascii="Tahoma" w:eastAsia="Tahoma" w:hAnsi="Tahoma"/>
          <w:color w:val="000000"/>
          <w:spacing w:val="11"/>
          <w:sz w:val="21"/>
        </w:rPr>
      </w:pPr>
      <w:r>
        <w:rPr>
          <w:rFonts w:ascii="Tahoma" w:eastAsia="Tahoma" w:hAnsi="Tahoma"/>
          <w:color w:val="000000"/>
          <w:spacing w:val="11"/>
          <w:sz w:val="21"/>
        </w:rPr>
        <w:t>Engagement policies</w:t>
      </w:r>
    </w:p>
    <w:p w14:paraId="4CC4FC39" w14:textId="77777777" w:rsidR="009275F5" w:rsidRDefault="00BC2B5C">
      <w:pPr>
        <w:spacing w:before="457" w:line="289" w:lineRule="exact"/>
        <w:jc w:val="both"/>
        <w:textAlignment w:val="baseline"/>
        <w:rPr>
          <w:rFonts w:ascii="Calibri" w:eastAsia="Calibri" w:hAnsi="Calibri"/>
          <w:color w:val="000000"/>
        </w:rPr>
      </w:pPr>
      <w:r>
        <w:rPr>
          <w:rFonts w:ascii="Calibri" w:eastAsia="Calibri" w:hAnsi="Calibri"/>
          <w:color w:val="000000"/>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3C0D0407" w14:textId="77777777" w:rsidR="009275F5" w:rsidRDefault="009275F5">
      <w:pPr>
        <w:sectPr w:rsidR="009275F5">
          <w:pgSz w:w="11904" w:h="16843"/>
          <w:pgMar w:top="1360" w:right="1405" w:bottom="1347" w:left="1415" w:header="720" w:footer="720" w:gutter="0"/>
          <w:cols w:space="720"/>
        </w:sectPr>
      </w:pPr>
    </w:p>
    <w:p w14:paraId="5A605AE8" w14:textId="77777777" w:rsidR="009275F5" w:rsidRDefault="00BC2B5C">
      <w:pPr>
        <w:spacing w:before="15" w:line="256" w:lineRule="exact"/>
        <w:textAlignment w:val="baseline"/>
        <w:rPr>
          <w:rFonts w:ascii="Tahoma" w:eastAsia="Tahoma" w:hAnsi="Tahoma"/>
          <w:color w:val="000000"/>
          <w:spacing w:val="12"/>
          <w:sz w:val="21"/>
        </w:rPr>
      </w:pPr>
      <w:r>
        <w:rPr>
          <w:rFonts w:ascii="Tahoma" w:eastAsia="Tahoma" w:hAnsi="Tahoma"/>
          <w:color w:val="000000"/>
          <w:spacing w:val="12"/>
          <w:sz w:val="21"/>
        </w:rPr>
        <w:lastRenderedPageBreak/>
        <w:t>Attainment of the sustainable investment objective</w:t>
      </w:r>
    </w:p>
    <w:p w14:paraId="3D8C525E" w14:textId="77777777" w:rsidR="009275F5" w:rsidRDefault="00BC2B5C">
      <w:pPr>
        <w:spacing w:before="461" w:line="288" w:lineRule="exact"/>
        <w:jc w:val="both"/>
        <w:textAlignment w:val="baseline"/>
        <w:rPr>
          <w:rFonts w:ascii="Calibri" w:eastAsia="Calibri" w:hAnsi="Calibri"/>
          <w:color w:val="000000"/>
        </w:rPr>
      </w:pPr>
      <w:r>
        <w:rPr>
          <w:rFonts w:ascii="Calibri" w:eastAsia="Calibri" w:hAnsi="Calibri"/>
          <w:color w:val="000000"/>
        </w:rPr>
        <w:t>Yes, the Index has been designated as a reference benchmark to determine whether the Sub-Fund is aligned with its sustainable investment objective.</w:t>
      </w:r>
    </w:p>
    <w:p w14:paraId="4B40C30E" w14:textId="77777777" w:rsidR="009275F5" w:rsidRDefault="00BC2B5C">
      <w:pPr>
        <w:spacing w:before="161" w:line="290" w:lineRule="exact"/>
        <w:jc w:val="both"/>
        <w:textAlignment w:val="baseline"/>
        <w:rPr>
          <w:rFonts w:ascii="Calibri" w:eastAsia="Calibri" w:hAnsi="Calibri"/>
          <w:color w:val="000000"/>
        </w:rPr>
      </w:pPr>
      <w:r>
        <w:rPr>
          <w:rFonts w:ascii="Calibri" w:eastAsia="Calibri" w:hAnsi="Calibri"/>
          <w:color w:val="000000"/>
        </w:rPr>
        <w:t>According to applicable regulations to index sponsors (including BMR), index sponsors should define appropriate controls/diligence when defining and/or operating index methodologies of regulated indexes.</w:t>
      </w:r>
    </w:p>
    <w:p w14:paraId="0E87C0F0" w14:textId="77777777" w:rsidR="009275F5" w:rsidRDefault="00BC2B5C">
      <w:pPr>
        <w:spacing w:before="164" w:line="288" w:lineRule="exact"/>
        <w:jc w:val="both"/>
        <w:textAlignment w:val="baseline"/>
        <w:rPr>
          <w:rFonts w:ascii="Calibri" w:eastAsia="Calibri" w:hAnsi="Calibri"/>
          <w:color w:val="000000"/>
        </w:rPr>
      </w:pPr>
      <w:r>
        <w:rPr>
          <w:rFonts w:ascii="Calibri" w:eastAsia="Calibri" w:hAnsi="Calibri"/>
          <w:color w:val="000000"/>
        </w:rPr>
        <w:t>The Index is representative of the performance of investment grade rated Green Bonds issued by European countries and denominated in EUR. Green Bonds are issued in order to fund projects that have positive environmental outcomes</w:t>
      </w:r>
    </w:p>
    <w:p w14:paraId="09016A4B" w14:textId="77777777" w:rsidR="009275F5" w:rsidRDefault="00BC2B5C">
      <w:pPr>
        <w:spacing w:before="230" w:line="220" w:lineRule="exact"/>
        <w:textAlignment w:val="baseline"/>
        <w:rPr>
          <w:rFonts w:ascii="Calibri" w:eastAsia="Calibri" w:hAnsi="Calibri"/>
          <w:color w:val="000000"/>
        </w:rPr>
      </w:pPr>
      <w:r>
        <w:rPr>
          <w:rFonts w:ascii="Calibri" w:eastAsia="Calibri" w:hAnsi="Calibri"/>
          <w:color w:val="000000"/>
        </w:rPr>
        <w:t xml:space="preserve">Additional information on the Index can be found at </w:t>
      </w:r>
      <w:hyperlink r:id="rId8">
        <w:r>
          <w:rPr>
            <w:rFonts w:ascii="Calibri" w:eastAsia="Calibri" w:hAnsi="Calibri"/>
            <w:color w:val="0000FF"/>
            <w:u w:val="single"/>
          </w:rPr>
          <w:t>www.solactive.com</w:t>
        </w:r>
      </w:hyperlink>
      <w:r>
        <w:rPr>
          <w:rFonts w:ascii="Calibri" w:eastAsia="Calibri" w:hAnsi="Calibri"/>
          <w:color w:val="000000"/>
        </w:rPr>
        <w:t xml:space="preserve"> </w:t>
      </w:r>
    </w:p>
    <w:p w14:paraId="16576E14" w14:textId="77777777" w:rsidR="009275F5" w:rsidRDefault="00BC2B5C">
      <w:pPr>
        <w:spacing w:before="162" w:line="290" w:lineRule="exact"/>
        <w:jc w:val="both"/>
        <w:textAlignment w:val="baseline"/>
        <w:rPr>
          <w:rFonts w:ascii="Calibri" w:eastAsia="Calibri" w:hAnsi="Calibri"/>
          <w:color w:val="000000"/>
        </w:rPr>
      </w:pPr>
      <w:r>
        <w:rPr>
          <w:rFonts w:ascii="Calibri" w:eastAsia="Calibri" w:hAnsi="Calibri"/>
          <w:color w:val="000000"/>
        </w:rPr>
        <w:t>The proportion of sustainable investment in the product portfolio is monitored on an ongoing basis in Amundi proprietary portfolio management system, with first level controls on the achievement of the minimum committed level carried out by the investment team, and second level controls carried out by the Risk function. The proportion of Sustainable Investments in the portfolio is calculated on an ongoing basis applying to each security in the product portfolio the filters described in section “Monitoring o</w:t>
      </w:r>
      <w:r>
        <w:rPr>
          <w:rFonts w:ascii="Calibri" w:eastAsia="Calibri" w:hAnsi="Calibri"/>
          <w:color w:val="000000"/>
        </w:rPr>
        <w:t>f sustainable investment objective” above.</w:t>
      </w:r>
    </w:p>
    <w:sectPr w:rsidR="009275F5">
      <w:pgSz w:w="11904" w:h="16843"/>
      <w:pgMar w:top="2340" w:right="1410" w:bottom="8367" w:left="14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D6AA" w14:textId="77777777" w:rsidR="00BC2B5C" w:rsidRDefault="00BC2B5C">
      <w:r>
        <w:separator/>
      </w:r>
    </w:p>
  </w:endnote>
  <w:endnote w:type="continuationSeparator" w:id="0">
    <w:p w14:paraId="1075DDFB" w14:textId="77777777" w:rsidR="00BC2B5C" w:rsidRDefault="00BC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8FE7" w14:textId="77777777" w:rsidR="009275F5" w:rsidRDefault="009275F5"/>
  </w:footnote>
  <w:footnote w:type="continuationSeparator" w:id="0">
    <w:p w14:paraId="7D8D3E00" w14:textId="77777777" w:rsidR="009275F5" w:rsidRDefault="00BC2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5E2"/>
    <w:multiLevelType w:val="multilevel"/>
    <w:tmpl w:val="6B307A3C"/>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84C44"/>
    <w:multiLevelType w:val="multilevel"/>
    <w:tmpl w:val="3A02B38E"/>
    <w:lvl w:ilvl="0">
      <w:start w:val="1"/>
      <w:numFmt w:val="decimal"/>
      <w:lvlText w:val="%1)"/>
      <w:lvlJc w:val="left"/>
      <w:pPr>
        <w:tabs>
          <w:tab w:val="left" w:pos="360"/>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0F1E10"/>
    <w:multiLevelType w:val="multilevel"/>
    <w:tmpl w:val="EB7C9908"/>
    <w:lvl w:ilvl="0">
      <w:start w:val="2"/>
      <w:numFmt w:val="upperLetter"/>
      <w:lvlText w:val="%1."/>
      <w:lvlJc w:val="left"/>
      <w:pPr>
        <w:tabs>
          <w:tab w:val="left" w:pos="360"/>
        </w:tabs>
      </w:pPr>
      <w:rPr>
        <w:rFonts w:ascii="Calibri" w:eastAsia="Calibri" w:hAnsi="Calibri"/>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0537E3"/>
    <w:multiLevelType w:val="multilevel"/>
    <w:tmpl w:val="9FC61C52"/>
    <w:lvl w:ilvl="0">
      <w:start w:val="1"/>
      <w:numFmt w:val="upp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3A0D81"/>
    <w:multiLevelType w:val="multilevel"/>
    <w:tmpl w:val="94C0FAC4"/>
    <w:lvl w:ilvl="0">
      <w:start w:val="1"/>
      <w:numFmt w:val="decimal"/>
      <w:lvlText w:val="%1."/>
      <w:lvlJc w:val="left"/>
      <w:pPr>
        <w:tabs>
          <w:tab w:val="left" w:pos="216"/>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6475783">
    <w:abstractNumId w:val="0"/>
  </w:num>
  <w:num w:numId="2" w16cid:durableId="1964340390">
    <w:abstractNumId w:val="4"/>
  </w:num>
  <w:num w:numId="3" w16cid:durableId="1948733000">
    <w:abstractNumId w:val="3"/>
  </w:num>
  <w:num w:numId="4" w16cid:durableId="649676971">
    <w:abstractNumId w:val="1"/>
  </w:num>
  <w:num w:numId="5" w16cid:durableId="1115556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F5"/>
    <w:rsid w:val="009275F5"/>
    <w:rsid w:val="00B14F4A"/>
    <w:rsid w:val="00BC2B5C"/>
    <w:rsid w:val="00C712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F1A3B"/>
  <w15:docId w15:val="{E4CB07E8-98CE-4F58-991A-AB8A00E8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lactive.com" TargetMode="External"/><Relationship Id="rId3" Type="http://schemas.openxmlformats.org/officeDocument/2006/relationships/settings" Target="settings.xml"/><Relationship Id="rId7" Type="http://schemas.openxmlformats.org/officeDocument/2006/relationships/hyperlink" Target="http://www.climatebonds.net/)"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3873</Words>
  <Characters>21303</Characters>
  <Application>Microsoft Office Word</Application>
  <DocSecurity>0</DocSecurity>
  <Lines>177</Lines>
  <Paragraphs>50</Paragraphs>
  <ScaleCrop>false</ScaleCrop>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WebsiteSfdrDisclosure-2024-01-01-EN-LU-2024-01-01-LU2356220926.docx</dc:title>
  <dc:creator>aparis</dc:creator>
  <cp:lastModifiedBy>Mohamadou Alexandre (AMUNDI)</cp:lastModifiedBy>
  <cp:revision>3</cp:revision>
  <dcterms:created xsi:type="dcterms:W3CDTF">2025-04-30T08:33:00Z</dcterms:created>
  <dcterms:modified xsi:type="dcterms:W3CDTF">2025-04-30T08:38:00Z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ee938f-4a94-486a-a97b-b0ea29e4d686_Enabled">
    <vt:lpwstr>true</vt:lpwstr>
  </property>
  <property fmtid="{D5CDD505-2E9C-101B-9397-08002B2CF9AE}" pid="3" name="MSIP_Label_feee938f-4a94-486a-a97b-b0ea29e4d686_SetDate">
    <vt:lpwstr>2025-04-30T08:33:41Z</vt:lpwstr>
  </property>
  <property fmtid="{D5CDD505-2E9C-101B-9397-08002B2CF9AE}" pid="4" name="MSIP_Label_feee938f-4a94-486a-a97b-b0ea29e4d686_Method">
    <vt:lpwstr>Privileged</vt:lpwstr>
  </property>
  <property fmtid="{D5CDD505-2E9C-101B-9397-08002B2CF9AE}" pid="5" name="MSIP_Label_feee938f-4a94-486a-a97b-b0ea29e4d686_Name">
    <vt:lpwstr>C2</vt:lpwstr>
  </property>
  <property fmtid="{D5CDD505-2E9C-101B-9397-08002B2CF9AE}" pid="6" name="MSIP_Label_feee938f-4a94-486a-a97b-b0ea29e4d686_SiteId">
    <vt:lpwstr>a5c34232-eadc-4609-bff3-dd6fcdae3fe2</vt:lpwstr>
  </property>
  <property fmtid="{D5CDD505-2E9C-101B-9397-08002B2CF9AE}" pid="7" name="MSIP_Label_feee938f-4a94-486a-a97b-b0ea29e4d686_ActionId">
    <vt:lpwstr>7c40c5f6-a6d6-4a28-9ee3-f82e40a5aed4</vt:lpwstr>
  </property>
  <property fmtid="{D5CDD505-2E9C-101B-9397-08002B2CF9AE}" pid="8" name="MSIP_Label_feee938f-4a94-486a-a97b-b0ea29e4d686_ContentBits">
    <vt:lpwstr>0</vt:lpwstr>
  </property>
  <property fmtid="{D5CDD505-2E9C-101B-9397-08002B2CF9AE}" pid="9" name="MSIP_Label_feee938f-4a94-486a-a97b-b0ea29e4d686_Tag">
    <vt:lpwstr>10, 0, 1, 1</vt:lpwstr>
  </property>
</Properties>
</file>