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77777777" w:rsidR="00432E0E" w:rsidRPr="00C2259E" w:rsidRDefault="00C74023" w:rsidP="00432E0E">
      <w:pPr>
        <w:ind w:left="-851" w:right="-851"/>
        <w:jc w:val="center"/>
        <w:rPr>
          <w:rFonts w:cstheme="minorHAnsi"/>
          <w:b/>
          <w:bCs/>
          <w:color w:val="FF0000"/>
          <w:sz w:val="24"/>
          <w:szCs w:val="24"/>
          <w:lang w:val="en-US"/>
        </w:rPr>
      </w:pPr>
      <w:bookmarkStart w:id="0" w:name="_Hlk121475070"/>
      <w:r w:rsidRPr="00C2259E">
        <w:rPr>
          <w:rFonts w:cstheme="minorHAnsi"/>
          <w:b/>
          <w:bCs/>
          <w:color w:val="FF0000"/>
          <w:sz w:val="24"/>
          <w:szCs w:val="24"/>
          <w:lang w:val="en-US"/>
        </w:rPr>
        <w:t xml:space="preserve">Website Product Disclosures further to art. 10(1) of the Sustainable Finance Disclosure Regulation for art. 8 sub-funds </w:t>
      </w:r>
    </w:p>
    <w:bookmarkEnd w:id="0"/>
    <w:p w14:paraId="7207B8A6" w14:textId="2D43B8A9" w:rsidR="001B13EB" w:rsidRPr="00C2259E" w:rsidRDefault="001B13EB" w:rsidP="00C15A78">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675A9D" w14:paraId="3A58E765" w14:textId="77777777" w:rsidTr="003F0A0C">
        <w:tc>
          <w:tcPr>
            <w:tcW w:w="5387" w:type="dxa"/>
          </w:tcPr>
          <w:p w14:paraId="3A4A049C" w14:textId="3A69716B" w:rsidR="005E1D0B" w:rsidRPr="00C2259E" w:rsidRDefault="00C74023"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r w:rsidR="00642A6C" w:rsidRPr="00C74023">
              <w:rPr>
                <w:sz w:val="21"/>
                <w:szCs w:val="21"/>
                <w:lang w:val="en-US"/>
              </w:rPr>
              <w:t>Amundi</w:t>
            </w:r>
            <w:r w:rsidRPr="00C74023">
              <w:rPr>
                <w:sz w:val="21"/>
                <w:szCs w:val="21"/>
                <w:lang w:val="en-US"/>
              </w:rPr>
              <w:t xml:space="preserve"> MSCI China ESG </w:t>
            </w:r>
            <w:r w:rsidR="00E94DF4">
              <w:rPr>
                <w:sz w:val="21"/>
                <w:szCs w:val="21"/>
                <w:lang w:val="en-US"/>
              </w:rPr>
              <w:t>Selection</w:t>
            </w:r>
            <w:r w:rsidRPr="00C74023">
              <w:rPr>
                <w:sz w:val="21"/>
                <w:szCs w:val="21"/>
                <w:lang w:val="en-US"/>
              </w:rPr>
              <w:t xml:space="preserve"> Extra</w:t>
            </w:r>
          </w:p>
        </w:tc>
        <w:tc>
          <w:tcPr>
            <w:tcW w:w="5103" w:type="dxa"/>
          </w:tcPr>
          <w:p w14:paraId="449F9D0D" w14:textId="77777777" w:rsidR="005E1D0B" w:rsidRPr="00C2259E" w:rsidRDefault="00C74023" w:rsidP="003F0A0C">
            <w:pPr>
              <w:ind w:right="-851"/>
            </w:pPr>
            <w:r w:rsidRPr="00C2259E">
              <w:rPr>
                <w:b/>
                <w:bCs/>
              </w:rPr>
              <w:t xml:space="preserve">Legal </w:t>
            </w:r>
            <w:proofErr w:type="spellStart"/>
            <w:r w:rsidRPr="00C2259E">
              <w:rPr>
                <w:b/>
                <w:bCs/>
              </w:rPr>
              <w:t>entity</w:t>
            </w:r>
            <w:proofErr w:type="spellEnd"/>
            <w:r w:rsidRPr="00C2259E">
              <w:rPr>
                <w:b/>
                <w:bCs/>
              </w:rPr>
              <w:t xml:space="preserve"> identifier</w:t>
            </w:r>
            <w:r w:rsidRPr="00C2259E">
              <w:t>: 549300E7C8KZ5P6BZI39</w:t>
            </w:r>
          </w:p>
        </w:tc>
      </w:tr>
    </w:tbl>
    <w:p w14:paraId="69DD299F" w14:textId="77777777" w:rsidR="00252E7E" w:rsidRPr="00C2259E" w:rsidRDefault="00252E7E" w:rsidP="00C15A78">
      <w:pPr>
        <w:pStyle w:val="Heading2"/>
        <w:ind w:left="-851" w:right="-851"/>
        <w:jc w:val="both"/>
        <w:rPr>
          <w:color w:val="auto"/>
        </w:rPr>
      </w:pPr>
    </w:p>
    <w:p w14:paraId="6B980FDB" w14:textId="287CC04B" w:rsidR="00CB6D7C" w:rsidRPr="00C2259E" w:rsidRDefault="00CB6D7C" w:rsidP="00C15A78">
      <w:pPr>
        <w:ind w:left="-851" w:right="-851"/>
        <w:jc w:val="both"/>
      </w:pPr>
    </w:p>
    <w:p w14:paraId="34564DEB" w14:textId="77777777" w:rsidR="00432E0E" w:rsidRPr="00C2259E" w:rsidRDefault="00C74023" w:rsidP="00432E0E">
      <w:pPr>
        <w:pStyle w:val="Heading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2D71726F" w14:textId="58D991C7" w:rsidR="003A5B9D" w:rsidRPr="00C2259E" w:rsidRDefault="00C74023" w:rsidP="003A5B9D">
      <w:pPr>
        <w:jc w:val="both"/>
        <w:rPr>
          <w:lang w:val="en-US"/>
        </w:rPr>
      </w:pPr>
      <w:r w:rsidRPr="00C2259E">
        <w:rPr>
          <w:lang w:val="en-US"/>
        </w:rPr>
        <w:t>This financial product promotes environmental or social characteristics, but does not have as its objective sustainable investment</w:t>
      </w:r>
      <w:r w:rsidRPr="00C2259E">
        <w:rPr>
          <w:lang w:val="en-US"/>
        </w:rPr>
        <w:cr/>
      </w:r>
      <w:r w:rsidRPr="00C2259E">
        <w:rPr>
          <w:lang w:val="en-US"/>
        </w:rPr>
        <w:cr/>
        <w:t>This financial product commits to making sustainable investments.</w:t>
      </w:r>
    </w:p>
    <w:p w14:paraId="743FD587" w14:textId="1DA089F6" w:rsidR="003A5B9D" w:rsidRPr="00C2259E" w:rsidRDefault="00C74023" w:rsidP="003A5B9D">
      <w:pPr>
        <w:jc w:val="both"/>
        <w:rPr>
          <w:lang w:val="en-US"/>
        </w:rPr>
      </w:pPr>
      <w:r w:rsidRPr="00C2259E">
        <w:rPr>
          <w:lang w:val="en-US"/>
        </w:rPr>
        <w:t>To ensure sustainable investments do no significant harm (‘DNSH’), Amundi utilizes two filters:</w:t>
      </w:r>
      <w:r w:rsidRPr="00C2259E">
        <w:rPr>
          <w:lang w:val="en-US"/>
        </w:rPr>
        <w:cr/>
      </w:r>
      <w:r w:rsidRPr="00C2259E">
        <w:rPr>
          <w:lang w:val="en-US"/>
        </w:rPr>
        <w:c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r w:rsidRPr="00C2259E">
        <w:rPr>
          <w:lang w:val="en-US"/>
        </w:rPr>
        <w:cr/>
      </w:r>
      <w:r w:rsidRPr="00C2259E">
        <w:rPr>
          <w:lang w:val="en-US"/>
        </w:rPr>
        <w:cr/>
        <w:t>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r w:rsidRPr="00C2259E">
        <w:rPr>
          <w:lang w:val="en-US"/>
        </w:rPr>
        <w:cr/>
      </w:r>
      <w:r w:rsidRPr="00C2259E">
        <w:rPr>
          <w:lang w:val="en-US"/>
        </w:rPr>
        <w:c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C2259E">
        <w:rPr>
          <w:lang w:val="en-US"/>
        </w:rPr>
        <w:t>E</w:t>
      </w:r>
      <w:proofErr w:type="spellEnd"/>
      <w:r w:rsidRPr="00C2259E">
        <w:rPr>
          <w:lang w:val="en-US"/>
        </w:rPr>
        <w:t xml:space="preserve"> using Amundi’s ESG rating.</w:t>
      </w:r>
    </w:p>
    <w:p w14:paraId="4FEF87A4" w14:textId="23F7322A" w:rsidR="003A5B9D" w:rsidRPr="00C2259E" w:rsidRDefault="00C74023" w:rsidP="003A5B9D">
      <w:pPr>
        <w:jc w:val="both"/>
        <w:rPr>
          <w:lang w:val="en-US"/>
        </w:rPr>
      </w:pPr>
      <w:r w:rsidRPr="00C2259E">
        <w:rPr>
          <w:lang w:val="en-US"/>
        </w:rPr>
        <w:t>The indicators for adverse impacts have been taken into account as detailed in the first do not significant harm (DNSH) filter above:</w:t>
      </w:r>
      <w:r w:rsidRPr="00C2259E">
        <w:rPr>
          <w:lang w:val="en-US"/>
        </w:rPr>
        <w:cr/>
      </w:r>
      <w:r w:rsidRPr="00C2259E">
        <w:rPr>
          <w:lang w:val="en-US"/>
        </w:rPr>
        <w:cr/>
        <w:t>The first DNSH filter relies on monitoring of mandatory Principal Adverse Impacts indicators in Annex 1, Table 1 of the RTS where robust data is available via the combination of following indicators and specific thresholds or rules:</w:t>
      </w:r>
      <w:r w:rsidRPr="00C2259E">
        <w:rPr>
          <w:lang w:val="en-US"/>
        </w:rPr>
        <w:cr/>
      </w:r>
      <w:r w:rsidRPr="00C2259E">
        <w:rPr>
          <w:lang w:val="en-US"/>
        </w:rPr>
        <w:cr/>
        <w:t>•</w:t>
      </w:r>
      <w:r w:rsidRPr="00C2259E">
        <w:rPr>
          <w:lang w:val="en-US"/>
        </w:rPr>
        <w:tab/>
        <w:t xml:space="preserve">Have a CO2 intensity which does not belong to the last decile compared to other companies within its sector (only applies to high intensity sectors), and </w:t>
      </w:r>
      <w:r w:rsidRPr="00C2259E">
        <w:rPr>
          <w:lang w:val="en-US"/>
        </w:rPr>
        <w:cr/>
        <w:t>•</w:t>
      </w:r>
      <w:r w:rsidRPr="00C2259E">
        <w:rPr>
          <w:lang w:val="en-US"/>
        </w:rPr>
        <w:tab/>
        <w:t xml:space="preserve">Have a Board of Directors’ diversity which does not belong to the last decile compared to other companies within its sector, and </w:t>
      </w:r>
      <w:r w:rsidRPr="00C2259E">
        <w:rPr>
          <w:lang w:val="en-US"/>
        </w:rPr>
        <w:cr/>
        <w:t>•</w:t>
      </w:r>
      <w:r w:rsidRPr="00C2259E">
        <w:rPr>
          <w:lang w:val="en-US"/>
        </w:rPr>
        <w:tab/>
        <w:t xml:space="preserve">Be cleared of any controversy in relation to work conditions and human rights and  </w:t>
      </w:r>
      <w:r w:rsidRPr="00C2259E">
        <w:rPr>
          <w:lang w:val="en-US"/>
        </w:rPr>
        <w:cr/>
        <w:t>•</w:t>
      </w:r>
      <w:r w:rsidRPr="00C2259E">
        <w:rPr>
          <w:lang w:val="en-US"/>
        </w:rPr>
        <w:tab/>
        <w:t>Be cleared of any controversy in relation to biodiversity and pollution.</w:t>
      </w:r>
    </w:p>
    <w:p w14:paraId="1C36D0D7" w14:textId="73F9A716" w:rsidR="003A5B9D" w:rsidRPr="00C2259E" w:rsidRDefault="00C74023" w:rsidP="003A5B9D">
      <w:pPr>
        <w:jc w:val="both"/>
        <w:rPr>
          <w:lang w:val="en-US"/>
        </w:rPr>
      </w:pPr>
      <w:r w:rsidRPr="00C2259E">
        <w:rPr>
          <w:lang w:val="en-US"/>
        </w:rPr>
        <w:lastRenderedPageBreak/>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79528FA1" w14:textId="015E14CB" w:rsidR="001478C5" w:rsidRPr="00C2259E" w:rsidRDefault="001478C5" w:rsidP="001478C5">
      <w:pPr>
        <w:jc w:val="both"/>
        <w:rPr>
          <w:lang w:val="en-US"/>
        </w:rPr>
      </w:pPr>
    </w:p>
    <w:p w14:paraId="11506061" w14:textId="77777777" w:rsidR="002571B9" w:rsidRPr="00C2259E" w:rsidRDefault="002571B9" w:rsidP="001478C5">
      <w:pPr>
        <w:jc w:val="both"/>
        <w:rPr>
          <w:lang w:val="en-US"/>
        </w:rPr>
      </w:pPr>
    </w:p>
    <w:p w14:paraId="4E690063" w14:textId="77777777" w:rsidR="00432E0E" w:rsidRPr="00C2259E" w:rsidRDefault="00C74023" w:rsidP="00432E0E">
      <w:pPr>
        <w:pStyle w:val="Heading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5FC98B52" w14:textId="77777777" w:rsidR="00D2060D" w:rsidRDefault="00C74023" w:rsidP="00D2060D">
      <w:pPr>
        <w:jc w:val="both"/>
        <w:rPr>
          <w:lang w:val="en-IE"/>
        </w:rPr>
      </w:pPr>
      <w:bookmarkStart w:id="1" w:name="_Hlk193121292"/>
      <w:r w:rsidRPr="00C2259E">
        <w:rPr>
          <w:lang w:val="en-IE"/>
        </w:rPr>
        <w:t xml:space="preserve">The Sub-Fund promotes environmental and/or social characteristics through among others, replicating an Index integrating an environmental, social and governance (“ESG”) rating. </w:t>
      </w:r>
      <w:r w:rsidRPr="00C2259E">
        <w:rPr>
          <w:lang w:val="en-IE"/>
        </w:rPr>
        <w:cr/>
      </w:r>
      <w:r w:rsidRPr="00C2259E">
        <w:rPr>
          <w:lang w:val="en-IE"/>
        </w:rPr>
        <w:cr/>
        <w:t xml:space="preserve"> The Index methodology is constructed using a “Best-in-class approach”: best ranked companies are selected to construct the Index. </w:t>
      </w:r>
      <w:r w:rsidRPr="00C2259E">
        <w:rPr>
          <w:lang w:val="en-IE"/>
        </w:rPr>
        <w:cr/>
      </w:r>
      <w:r w:rsidRPr="00C2259E">
        <w:rPr>
          <w:lang w:val="en-IE"/>
        </w:rPr>
        <w:cr/>
        <w:t>“Best-in-class” is an approach where leading or best-performing investments are selected within a universe, industry sector or class. Using such Best-in-class approach, the Index follows an extra-financial approach significantly engaging that permits the reduction by at least 20% of the initial investment universe (expressed in number of issuers).</w:t>
      </w:r>
      <w:r w:rsidRPr="00C2259E">
        <w:rPr>
          <w:lang w:val="en-IE"/>
        </w:rPr>
        <w:cr/>
      </w:r>
    </w:p>
    <w:p w14:paraId="294EF2E4" w14:textId="1421626C" w:rsidR="001478C5" w:rsidRPr="00D2060D" w:rsidRDefault="00D2060D" w:rsidP="00D2060D">
      <w:pPr>
        <w:jc w:val="both"/>
        <w:rPr>
          <w:lang w:val="en-IE"/>
        </w:rPr>
      </w:pPr>
      <w:r w:rsidRPr="00D2060D">
        <w:rPr>
          <w:lang w:val="en-IE"/>
        </w:rPr>
        <w:t>The Index applies exclusions to companies involved in activities considered non-aligned with the Paris Climate Agreement (coal extraction, oil, etc). Those exclusions are provided for in Art. 12 (1) (a)-(g) of the Commission Delegated Regulation (EU) 2020/1818 of 17 July 2020 supplementing Regulation (EU) 2016/1011 of the European Parliament and of the Council as regards minimum standards for EU Climate Transition Benchmarks and EU Paris-aligned Benchmarks.</w:t>
      </w:r>
      <w:r>
        <w:rPr>
          <w:lang w:val="en-IE"/>
        </w:rPr>
        <w:t xml:space="preserve"> </w:t>
      </w:r>
      <w:r w:rsidRPr="00D2060D">
        <w:rPr>
          <w:lang w:val="en-IE"/>
        </w:rPr>
        <w:t>For further information please refer to the "Guidelines on funds’ names using ESG or sustainability-related terms" section of the Prospectus.</w:t>
      </w:r>
    </w:p>
    <w:bookmarkEnd w:id="1"/>
    <w:p w14:paraId="71A818C4" w14:textId="1BEDAE0F" w:rsidR="003A5B9D" w:rsidRPr="00C2259E" w:rsidRDefault="003A5B9D" w:rsidP="001478C5">
      <w:pPr>
        <w:jc w:val="both"/>
        <w:rPr>
          <w:lang w:val="en-IE"/>
        </w:rPr>
      </w:pPr>
    </w:p>
    <w:p w14:paraId="083B30B9" w14:textId="77777777" w:rsidR="002571B9" w:rsidRPr="00C2259E" w:rsidRDefault="002571B9" w:rsidP="001478C5">
      <w:pPr>
        <w:jc w:val="both"/>
        <w:rPr>
          <w:lang w:val="en-IE"/>
        </w:rPr>
      </w:pPr>
    </w:p>
    <w:p w14:paraId="0A1DBFE8" w14:textId="77777777" w:rsidR="00432E0E" w:rsidRPr="00C2259E" w:rsidRDefault="00C74023" w:rsidP="00432E0E">
      <w:pPr>
        <w:pStyle w:val="Heading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4CA74929" w14:textId="77777777" w:rsidR="00C37B14" w:rsidRDefault="00C37B14" w:rsidP="00C37B14">
      <w:pPr>
        <w:pStyle w:val="ListParagraph"/>
        <w:numPr>
          <w:ilvl w:val="1"/>
          <w:numId w:val="3"/>
        </w:numPr>
        <w:tabs>
          <w:tab w:val="clear" w:pos="360"/>
          <w:tab w:val="num" w:pos="321"/>
          <w:tab w:val="num" w:pos="1560"/>
        </w:tabs>
        <w:spacing w:after="0" w:line="276" w:lineRule="auto"/>
        <w:ind w:left="321" w:hanging="284"/>
        <w:jc w:val="both"/>
        <w:rPr>
          <w:noProof/>
          <w:sz w:val="20"/>
          <w:szCs w:val="20"/>
          <w:lang w:val="en-GB" w:eastAsia="fr-LU"/>
        </w:rPr>
      </w:pPr>
      <w:r>
        <w:rPr>
          <w:b/>
          <w:i/>
          <w:noProof/>
          <w:lang w:val="en-GB" w:eastAsia="fr-LU"/>
        </w:rPr>
        <w:t>What sustainability indicators are used to measure the attainment of each of the environmental or social characteristics promoted by this financial product?</w:t>
      </w:r>
    </w:p>
    <w:p w14:paraId="48AE82AF" w14:textId="77777777" w:rsidR="00C37B14" w:rsidRDefault="00C37B14" w:rsidP="00C37B14">
      <w:pPr>
        <w:pStyle w:val="ListParagraph"/>
        <w:tabs>
          <w:tab w:val="num" w:pos="1560"/>
        </w:tabs>
        <w:spacing w:after="0"/>
        <w:ind w:left="321"/>
        <w:jc w:val="both"/>
        <w:rPr>
          <w:b/>
          <w:i/>
          <w:noProof/>
          <w:lang w:val="en-GB" w:eastAsia="fr-LU"/>
        </w:rPr>
      </w:pPr>
    </w:p>
    <w:p w14:paraId="69D856C7"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The MSCI ESG Rating is used to measure the attainment of each of the environmental and or social characteristic promoted by this financial product.</w:t>
      </w:r>
    </w:p>
    <w:p w14:paraId="2B85FD04" w14:textId="77777777" w:rsidR="00C37B14" w:rsidRDefault="00C37B14" w:rsidP="00C37B14">
      <w:pPr>
        <w:pStyle w:val="ListParagraph"/>
        <w:tabs>
          <w:tab w:val="num" w:pos="1560"/>
        </w:tabs>
        <w:spacing w:after="0"/>
        <w:ind w:left="321"/>
        <w:jc w:val="both"/>
        <w:rPr>
          <w:noProof/>
          <w:sz w:val="20"/>
          <w:szCs w:val="20"/>
          <w:lang w:val="en-GB" w:eastAsia="fr-LU"/>
        </w:rPr>
      </w:pPr>
    </w:p>
    <w:p w14:paraId="4E484B6F"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 xml:space="preserve">MSCI ESG Rating methodology 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weighted according to impact and time horizon of the risk or opportunity. The ESG key issues include for instance, but are not limited to, water stress, carbon emissions, labor management or business ethics. </w:t>
      </w:r>
    </w:p>
    <w:p w14:paraId="4682B804" w14:textId="77777777" w:rsidR="00C37B14" w:rsidRDefault="00C37B14" w:rsidP="00C37B14">
      <w:pPr>
        <w:pStyle w:val="ListParagraph"/>
        <w:tabs>
          <w:tab w:val="num" w:pos="1560"/>
        </w:tabs>
        <w:spacing w:after="0"/>
        <w:ind w:left="321"/>
        <w:jc w:val="both"/>
        <w:rPr>
          <w:noProof/>
          <w:sz w:val="20"/>
          <w:szCs w:val="20"/>
          <w:lang w:val="en-GB" w:eastAsia="fr-LU"/>
        </w:rPr>
      </w:pPr>
    </w:p>
    <w:p w14:paraId="1FDA515D"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More detailed on MSCI ESG Rating can be found on the following link:</w:t>
      </w:r>
    </w:p>
    <w:p w14:paraId="15702372"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https://www.msci.com/documents/1296102/21901542/ESG-Ratings-Methodology-Exec-Summary.pdf</w:t>
      </w:r>
    </w:p>
    <w:p w14:paraId="0A0C8AE8"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More details on MSCI ESG Controversy score can be found on the following link:</w:t>
      </w:r>
    </w:p>
    <w:p w14:paraId="1E39AC7E"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https://www.msci.com/documents/1296102/14524248/MSCI+ESG+Research+Controversies+Executive+Summary+Methodology+-++July+2020.pdf/b0a2bb88-2360-1728-b70e-2f0a889b6bd4</w:t>
      </w:r>
    </w:p>
    <w:p w14:paraId="259B18D2" w14:textId="77777777" w:rsidR="00C37B14" w:rsidRDefault="00C37B14" w:rsidP="00C37B14">
      <w:pPr>
        <w:pStyle w:val="ListParagraph"/>
        <w:tabs>
          <w:tab w:val="num" w:pos="1560"/>
        </w:tabs>
        <w:spacing w:after="0"/>
        <w:ind w:left="321"/>
        <w:jc w:val="both"/>
        <w:rPr>
          <w:noProof/>
          <w:sz w:val="20"/>
          <w:szCs w:val="20"/>
          <w:lang w:val="en-GB" w:eastAsia="fr-LU"/>
        </w:rPr>
      </w:pPr>
    </w:p>
    <w:p w14:paraId="4A13E8DC" w14:textId="510CF96C"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 xml:space="preserve">More precisely, </w:t>
      </w:r>
      <w:r w:rsidR="0039734C">
        <w:rPr>
          <w:noProof/>
          <w:sz w:val="20"/>
          <w:szCs w:val="20"/>
          <w:lang w:val="en-GB" w:eastAsia="fr-LU"/>
        </w:rPr>
        <w:t xml:space="preserve">the </w:t>
      </w:r>
      <w:r w:rsidR="0039734C" w:rsidRPr="0039734C">
        <w:rPr>
          <w:b/>
          <w:bCs/>
          <w:noProof/>
          <w:sz w:val="20"/>
          <w:szCs w:val="20"/>
          <w:lang w:val="en-GB" w:eastAsia="fr-LU"/>
        </w:rPr>
        <w:t>MSCI China ESG Selection P-Series Extra Net Total Return Index</w:t>
      </w:r>
      <w:r w:rsidR="0039734C" w:rsidRPr="0039734C">
        <w:rPr>
          <w:noProof/>
          <w:sz w:val="20"/>
          <w:szCs w:val="20"/>
          <w:lang w:val="en-GB" w:eastAsia="fr-LU"/>
        </w:rPr>
        <w:t xml:space="preserve"> </w:t>
      </w:r>
      <w:r>
        <w:rPr>
          <w:noProof/>
          <w:sz w:val="20"/>
          <w:szCs w:val="20"/>
          <w:lang w:val="en-GB" w:eastAsia="fr-LU"/>
        </w:rPr>
        <w:t>(the "</w:t>
      </w:r>
      <w:r>
        <w:rPr>
          <w:b/>
          <w:bCs/>
          <w:noProof/>
          <w:sz w:val="20"/>
          <w:szCs w:val="20"/>
          <w:lang w:val="en-GB" w:eastAsia="fr-LU"/>
        </w:rPr>
        <w:t>Index</w:t>
      </w:r>
      <w:r>
        <w:rPr>
          <w:noProof/>
          <w:sz w:val="20"/>
          <w:szCs w:val="20"/>
          <w:lang w:val="en-GB" w:eastAsia="fr-LU"/>
        </w:rPr>
        <w:t xml:space="preserve">") features the following characteristics: </w:t>
      </w:r>
    </w:p>
    <w:p w14:paraId="78D91F14" w14:textId="77777777" w:rsidR="00C37B14" w:rsidRDefault="00C37B14" w:rsidP="00C37B14">
      <w:pPr>
        <w:pStyle w:val="ListParagraph"/>
        <w:tabs>
          <w:tab w:val="num" w:pos="1560"/>
        </w:tabs>
        <w:spacing w:after="0"/>
        <w:ind w:left="321"/>
        <w:jc w:val="both"/>
        <w:rPr>
          <w:noProof/>
          <w:sz w:val="20"/>
          <w:szCs w:val="20"/>
          <w:lang w:val="en-GB" w:eastAsia="fr-LU"/>
        </w:rPr>
      </w:pPr>
    </w:p>
    <w:p w14:paraId="3C8A3655"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a) Same investment universe of securities as the MSCI China Index (the “Parent Index”);</w:t>
      </w:r>
    </w:p>
    <w:p w14:paraId="1D531C4B" w14:textId="77777777" w:rsidR="00C37B14" w:rsidRDefault="00C37B14" w:rsidP="00C37B14">
      <w:pPr>
        <w:pStyle w:val="ListParagraph"/>
        <w:tabs>
          <w:tab w:val="num" w:pos="1560"/>
        </w:tabs>
        <w:spacing w:after="0"/>
        <w:ind w:left="321"/>
        <w:jc w:val="both"/>
        <w:rPr>
          <w:noProof/>
          <w:sz w:val="20"/>
          <w:szCs w:val="20"/>
          <w:lang w:val="en-GB" w:eastAsia="fr-LU"/>
        </w:rPr>
      </w:pPr>
    </w:p>
    <w:p w14:paraId="187132AE"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b) ESG value-based exclusions from the following activities: alcohol, gambling, tobacco, civilian firearms, nuclear power, adult entertainment, genetically modified organisms, conventional and controversial weapons;</w:t>
      </w:r>
    </w:p>
    <w:p w14:paraId="49B1F0FC" w14:textId="77777777" w:rsidR="00C37B14" w:rsidRDefault="00C37B14" w:rsidP="00C37B14">
      <w:pPr>
        <w:pStyle w:val="ListParagraph"/>
        <w:tabs>
          <w:tab w:val="num" w:pos="1560"/>
        </w:tabs>
        <w:spacing w:after="0"/>
        <w:ind w:left="321"/>
        <w:jc w:val="both"/>
        <w:rPr>
          <w:noProof/>
          <w:sz w:val="20"/>
          <w:szCs w:val="20"/>
          <w:lang w:val="en-GB" w:eastAsia="fr-LU"/>
        </w:rPr>
      </w:pPr>
    </w:p>
    <w:p w14:paraId="4A76E117"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c) Climate change-based exclusions from the following activities: fossil fuel reserves ownership, extraction and production of thermal coal/unconventional oil and gas/conventional oil and gas/uranium mining, fossil fuel/nuclear/thermal coal-based power generation, oil and gas downstream activities;</w:t>
      </w:r>
    </w:p>
    <w:p w14:paraId="4DA61EA0" w14:textId="77777777" w:rsidR="00C37B14" w:rsidRDefault="00C37B14" w:rsidP="00C37B14">
      <w:pPr>
        <w:pStyle w:val="ListParagraph"/>
        <w:tabs>
          <w:tab w:val="num" w:pos="1560"/>
        </w:tabs>
        <w:spacing w:after="0"/>
        <w:ind w:left="321"/>
        <w:jc w:val="both"/>
        <w:rPr>
          <w:noProof/>
          <w:sz w:val="20"/>
          <w:szCs w:val="20"/>
          <w:lang w:val="en-GB" w:eastAsia="fr-LU"/>
        </w:rPr>
      </w:pPr>
    </w:p>
    <w:p w14:paraId="78F1AFD8"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d) Exclusion of companies involved in a major ESG controversy (based on the MSCI ESG Controversy score);</w:t>
      </w:r>
    </w:p>
    <w:p w14:paraId="6AF3FBDC" w14:textId="77777777" w:rsidR="00C37B14" w:rsidRDefault="00C37B14" w:rsidP="00C37B14">
      <w:pPr>
        <w:pStyle w:val="ListParagraph"/>
        <w:tabs>
          <w:tab w:val="num" w:pos="1560"/>
        </w:tabs>
        <w:spacing w:after="0"/>
        <w:ind w:left="321"/>
        <w:jc w:val="both"/>
        <w:rPr>
          <w:noProof/>
          <w:sz w:val="20"/>
          <w:szCs w:val="20"/>
          <w:lang w:val="en-GB" w:eastAsia="fr-LU"/>
        </w:rPr>
      </w:pPr>
    </w:p>
    <w:p w14:paraId="2D1213A5"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e) Companies are ranked based on their ESG ratings and trends (yearly improvement or degradation of ESG ratings). MSCI ESG Rating methodology uses a rules-based methodology designed to measure a company’s resilience to long-term, industry material ESG risks. It is based on extra-financial ESG key issues that focus on the intersection between a company’s core business and the industry-specific issues that may create significant risks and opportunities for the company. The ESG key issues are weighted according to impact and time horizon of the risk or opportunity. The ESG key issues include for instance, but are not limited to, water stress, carbon emissions, labor management or business ethics.</w:t>
      </w:r>
    </w:p>
    <w:p w14:paraId="29886A00"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The Index is constructed using a “Best-in-class” approach: best ranked companies in each sector (in accordance with the Global Industry Classification Standard (GICS)) are selected to construct the Index. Filters are less restrictive for stocks already in the Index in order to reduce the turnover on a rebalancing date.</w:t>
      </w:r>
    </w:p>
    <w:p w14:paraId="7157394B" w14:textId="77777777" w:rsidR="00C37B14" w:rsidRDefault="00C37B14" w:rsidP="00C37B14">
      <w:pPr>
        <w:pStyle w:val="ListParagraph"/>
        <w:tabs>
          <w:tab w:val="num" w:pos="1560"/>
        </w:tabs>
        <w:spacing w:after="0"/>
        <w:ind w:left="321"/>
        <w:jc w:val="both"/>
        <w:rPr>
          <w:noProof/>
          <w:sz w:val="20"/>
          <w:szCs w:val="20"/>
          <w:lang w:val="en-GB" w:eastAsia="fr-LU"/>
        </w:rPr>
      </w:pPr>
    </w:p>
    <w:p w14:paraId="3A3DF466"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“Best-in-class” is an approach where leading or best-performing investments are selected within a universe, industry sector or class.</w:t>
      </w:r>
    </w:p>
    <w:p w14:paraId="75D5B429"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 xml:space="preserve">Using such Best-in-class approach, the Sub-Fund follows an extra-financial approach significantly engaging that permits the reduction by at least 20% of the initial investment universe (expressed in number of issuers). </w:t>
      </w:r>
    </w:p>
    <w:p w14:paraId="226D7132"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The extra financial data coverage is above 90% of the eligible securities of the Index.</w:t>
      </w:r>
    </w:p>
    <w:p w14:paraId="5B9C5F02" w14:textId="77777777" w:rsidR="00C37B14" w:rsidRDefault="00C37B14" w:rsidP="00C37B14">
      <w:pPr>
        <w:pStyle w:val="ListParagraph"/>
        <w:tabs>
          <w:tab w:val="num" w:pos="1560"/>
        </w:tabs>
        <w:spacing w:after="0"/>
        <w:ind w:left="321"/>
        <w:jc w:val="both"/>
        <w:rPr>
          <w:noProof/>
          <w:sz w:val="20"/>
          <w:szCs w:val="20"/>
          <w:lang w:val="en-GB" w:eastAsia="fr-LU"/>
        </w:rPr>
      </w:pPr>
    </w:p>
    <w:p w14:paraId="18F5B362" w14:textId="77777777" w:rsid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f) The Index is free float-adjusted market capitalization weighted and the cumulated free-float adjusted market capitalization by GICS sector is overall proportional to the one of the Parent Index;</w:t>
      </w:r>
    </w:p>
    <w:p w14:paraId="24EF8068" w14:textId="77777777" w:rsidR="00C37B14" w:rsidRDefault="00C37B14" w:rsidP="00C37B14">
      <w:pPr>
        <w:pStyle w:val="ListParagraph"/>
        <w:tabs>
          <w:tab w:val="num" w:pos="1560"/>
        </w:tabs>
        <w:spacing w:after="0"/>
        <w:ind w:left="321"/>
        <w:jc w:val="both"/>
        <w:rPr>
          <w:noProof/>
          <w:sz w:val="20"/>
          <w:szCs w:val="20"/>
          <w:lang w:val="en-GB" w:eastAsia="fr-LU"/>
        </w:rPr>
      </w:pPr>
    </w:p>
    <w:p w14:paraId="50B13BBB" w14:textId="558F7B61" w:rsidR="003A5B9D" w:rsidRPr="00C37B14" w:rsidRDefault="00C37B14" w:rsidP="00C37B14">
      <w:pPr>
        <w:pStyle w:val="ListParagraph"/>
        <w:tabs>
          <w:tab w:val="num" w:pos="1560"/>
        </w:tabs>
        <w:spacing w:after="0"/>
        <w:ind w:left="321"/>
        <w:jc w:val="both"/>
        <w:rPr>
          <w:noProof/>
          <w:sz w:val="20"/>
          <w:szCs w:val="20"/>
          <w:lang w:val="en-GB" w:eastAsia="fr-LU"/>
        </w:rPr>
      </w:pPr>
      <w:r>
        <w:rPr>
          <w:noProof/>
          <w:sz w:val="20"/>
          <w:szCs w:val="20"/>
          <w:lang w:val="en-GB" w:eastAsia="fr-LU"/>
        </w:rPr>
        <w:t>g) An iterative downweighting ensures that the carbon intensity and the weighted average of board independence of the Index are respectively lower and higher than the ones of the Parent Index.</w:t>
      </w:r>
    </w:p>
    <w:p w14:paraId="6FECAC95" w14:textId="77777777" w:rsidR="002571B9" w:rsidRDefault="002571B9" w:rsidP="001478C5">
      <w:pPr>
        <w:jc w:val="both"/>
        <w:rPr>
          <w:lang w:val="en-US"/>
        </w:rPr>
      </w:pPr>
    </w:p>
    <w:p w14:paraId="575F1424" w14:textId="77777777" w:rsidR="00D2060D" w:rsidRPr="00D2060D" w:rsidRDefault="00D2060D" w:rsidP="00D2060D">
      <w:pPr>
        <w:jc w:val="both"/>
        <w:rPr>
          <w:lang w:val="en-US"/>
        </w:rPr>
      </w:pPr>
      <w:r w:rsidRPr="00D2060D">
        <w:rPr>
          <w:lang w:val="en-US"/>
        </w:rPr>
        <w:lastRenderedPageBreak/>
        <w:t xml:space="preserve">The Index applies exclusions to companies involved in activities considered non-aligned with the Paris Climate Agreement (coal extraction, oil, </w:t>
      </w:r>
      <w:proofErr w:type="spellStart"/>
      <w:r w:rsidRPr="00D2060D">
        <w:rPr>
          <w:lang w:val="en-US"/>
        </w:rPr>
        <w:t>etc</w:t>
      </w:r>
      <w:proofErr w:type="spellEnd"/>
      <w:r w:rsidRPr="00D2060D">
        <w:rPr>
          <w:lang w:val="en-US"/>
        </w:rPr>
        <w:t>). Those exclusions are provided for in Art. 12 (1) (a)-(g) of the Commission Delegated Regulation (EU) 2020/1818 of 17 July 2020 supplementing Regulation (EU) 2016/1011 of the European Parliament and of the Council as regards minimum standards for EU Climate Transition Benchmarks and EU Paris-aligned Benchmarks.</w:t>
      </w:r>
    </w:p>
    <w:p w14:paraId="65867E73" w14:textId="75947FC4" w:rsidR="00D2060D" w:rsidRPr="00C2259E" w:rsidRDefault="00D2060D" w:rsidP="00D2060D">
      <w:pPr>
        <w:jc w:val="both"/>
        <w:rPr>
          <w:lang w:val="en-US"/>
        </w:rPr>
      </w:pPr>
      <w:r w:rsidRPr="00D2060D">
        <w:rPr>
          <w:lang w:val="en-US"/>
        </w:rPr>
        <w:t>For further information please refer to the "Guidelines on funds’ names using ESG or sustainability-related terms" section of the Prospectus.</w:t>
      </w:r>
    </w:p>
    <w:p w14:paraId="49690FE1" w14:textId="77777777" w:rsidR="00432E0E" w:rsidRPr="00C2259E" w:rsidRDefault="00C74023" w:rsidP="00432E0E">
      <w:pPr>
        <w:pStyle w:val="Heading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3CDD8388" w14:textId="28629DC1" w:rsidR="001478C5" w:rsidRPr="00C2259E" w:rsidRDefault="00C74023" w:rsidP="001478C5">
      <w:pPr>
        <w:jc w:val="both"/>
        <w:rPr>
          <w:lang w:val="en-US"/>
        </w:rPr>
      </w:pPr>
      <w:r w:rsidRPr="00C2259E">
        <w:rPr>
          <w:lang w:val="en-US"/>
        </w:rPr>
        <w:t xml:space="preserve"> </w:t>
      </w:r>
      <w:bookmarkStart w:id="2" w:name="_Hlk193121304"/>
      <w:r w:rsidR="003A5B9D" w:rsidRPr="00C2259E">
        <w:rPr>
          <w:lang w:val="en-US"/>
        </w:rPr>
        <w:t xml:space="preserve">At least 90% of the Sub-Fund’s securities and instruments will meet the promoted environmental or social characteristics in accordance with the binding elements of the Index methodology.  Furthermore, the Sub-Fund commits to have a minimum of </w:t>
      </w:r>
      <w:r w:rsidR="00F9793C">
        <w:rPr>
          <w:lang w:val="en-US"/>
        </w:rPr>
        <w:t>10</w:t>
      </w:r>
      <w:r w:rsidR="003A5B9D" w:rsidRPr="00C2259E">
        <w:rPr>
          <w:lang w:val="en-US"/>
        </w:rPr>
        <w:t>% of sustainable investments as per the below chart. Investments aligned with other E/S characteristics (#1B) will represent the difference between the actual proportion of investments aligned with environmental or social characteristics (#1) and the actual proportion of sustainable investments (#1A).</w:t>
      </w:r>
      <w:r w:rsidR="003A5B9D" w:rsidRPr="00C2259E">
        <w:rPr>
          <w:lang w:val="en-US"/>
        </w:rPr>
        <w:cr/>
        <w:t xml:space="preserve">The planned proportion of other environmental investment represents a minimum of </w:t>
      </w:r>
      <w:r w:rsidR="00F9793C">
        <w:rPr>
          <w:lang w:val="en-US"/>
        </w:rPr>
        <w:t>10</w:t>
      </w:r>
      <w:r w:rsidR="003A5B9D" w:rsidRPr="00C2259E">
        <w:rPr>
          <w:lang w:val="en-US"/>
        </w:rPr>
        <w:t>% (</w:t>
      </w:r>
      <w:proofErr w:type="spellStart"/>
      <w:r w:rsidR="003A5B9D" w:rsidRPr="00C2259E">
        <w:rPr>
          <w:lang w:val="en-US"/>
        </w:rPr>
        <w:t>i</w:t>
      </w:r>
      <w:proofErr w:type="spellEnd"/>
      <w:r w:rsidR="003A5B9D" w:rsidRPr="00C2259E">
        <w:rPr>
          <w:lang w:val="en-US"/>
        </w:rPr>
        <w:t>)  and may change as the actual proportions of Taxonomy-aligned and/or Social investments increase.</w:t>
      </w:r>
      <w:r w:rsidR="003A5B9D" w:rsidRPr="00C2259E">
        <w:rPr>
          <w:lang w:val="en-US"/>
        </w:rPr>
        <w:cr/>
      </w:r>
      <w:bookmarkEnd w:id="2"/>
    </w:p>
    <w:p w14:paraId="5727CE3A" w14:textId="65A5C551" w:rsidR="003A5B9D" w:rsidRPr="00C2259E" w:rsidRDefault="003A5B9D" w:rsidP="001478C5">
      <w:pPr>
        <w:jc w:val="both"/>
        <w:rPr>
          <w:lang w:val="en-US"/>
        </w:rPr>
      </w:pPr>
    </w:p>
    <w:p w14:paraId="238F9190" w14:textId="77777777" w:rsidR="002571B9" w:rsidRPr="00C2259E" w:rsidRDefault="002571B9" w:rsidP="001478C5">
      <w:pPr>
        <w:jc w:val="both"/>
        <w:rPr>
          <w:lang w:val="en-US"/>
        </w:rPr>
      </w:pPr>
    </w:p>
    <w:p w14:paraId="7204154B" w14:textId="0C772728" w:rsidR="001478C5" w:rsidRPr="00C2259E" w:rsidRDefault="00C74023" w:rsidP="00C2259E">
      <w:pPr>
        <w:pStyle w:val="Heading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7C0F0BA3" w14:textId="1D8819D8" w:rsidR="001478C5" w:rsidRPr="00C2259E" w:rsidRDefault="00C74023" w:rsidP="001478C5">
      <w:pPr>
        <w:jc w:val="both"/>
        <w:rPr>
          <w:lang w:val="en-US"/>
        </w:rPr>
      </w:pPr>
      <w:r w:rsidRPr="00C2259E">
        <w:rPr>
          <w:lang w:val="en-US"/>
        </w:rPr>
        <w:t xml:space="preserve">All ESG data, either externally or internally processed, is </w:t>
      </w:r>
      <w:proofErr w:type="spellStart"/>
      <w:r w:rsidRPr="00C2259E">
        <w:rPr>
          <w:lang w:val="en-US"/>
        </w:rPr>
        <w:t>centralised</w:t>
      </w:r>
      <w:proofErr w:type="spellEnd"/>
      <w:r w:rsidRPr="00C2259E">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r w:rsidRPr="00C2259E">
        <w:rPr>
          <w:lang w:val="en-US"/>
        </w:rPr>
        <w:cr/>
      </w:r>
      <w:r w:rsidRPr="00C2259E">
        <w:rPr>
          <w:lang w:val="en-US"/>
        </w:rPr>
        <w:cr/>
        <w:t>Sustainability indicators used within Amundi rely on proprietary methodologies. These indicators are continuously made available in the portfolio management system allowing the portfolio managers to assess the impact of their investment decisions.</w:t>
      </w:r>
      <w:r w:rsidRPr="00C2259E">
        <w:rPr>
          <w:lang w:val="en-US"/>
        </w:rPr>
        <w:c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B2ABE81" w14:textId="7E4F8D99" w:rsidR="003A5B9D" w:rsidRPr="00C2259E" w:rsidRDefault="003A5B9D" w:rsidP="001478C5">
      <w:pPr>
        <w:jc w:val="both"/>
        <w:rPr>
          <w:lang w:val="en-US"/>
        </w:rPr>
      </w:pPr>
    </w:p>
    <w:p w14:paraId="4CF81C4B" w14:textId="77777777" w:rsidR="002571B9" w:rsidRPr="00C2259E" w:rsidRDefault="002571B9" w:rsidP="001478C5">
      <w:pPr>
        <w:jc w:val="both"/>
        <w:rPr>
          <w:lang w:val="en-US"/>
        </w:rPr>
      </w:pPr>
    </w:p>
    <w:p w14:paraId="3DF7BFE2" w14:textId="77777777" w:rsidR="00432E0E" w:rsidRPr="00C2259E" w:rsidRDefault="00C74023" w:rsidP="00432E0E">
      <w:pPr>
        <w:pStyle w:val="Heading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6AF9C46" w14:textId="03E0E1C2" w:rsidR="001478C5" w:rsidRPr="00C2259E" w:rsidRDefault="00C74023" w:rsidP="001478C5">
      <w:pPr>
        <w:jc w:val="both"/>
        <w:rPr>
          <w:lang w:val="en-US"/>
        </w:rPr>
      </w:pPr>
      <w:r w:rsidRPr="00C2259E">
        <w:rPr>
          <w:lang w:val="en-US"/>
        </w:rPr>
        <w:t xml:space="preserve">The Amundi ESG rating used to determine the ESG score is an ESG quantitative score translated into seven grades, ranging from A (the best scores universe) to G (the worst). In the Amundi ESG Rating </w:t>
      </w:r>
      <w:r w:rsidRPr="00C2259E">
        <w:rPr>
          <w:lang w:val="en-US"/>
        </w:rPr>
        <w:lastRenderedPageBreak/>
        <w:t>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sidRPr="00C2259E">
        <w:rPr>
          <w:lang w:val="en-US"/>
        </w:rPr>
        <w:cr/>
      </w:r>
      <w:r w:rsidRPr="00C2259E">
        <w:rPr>
          <w:lang w:val="en-US"/>
        </w:rPr>
        <w:cr/>
        <w:t xml:space="preserve"> - Environmental dimension: this examines issuers’ ability to control their direct and indirect environmental impact, by limiting their energy consumption, reducing their greenhouse emissions, fighting resource depletion and protecting biodiversity; </w:t>
      </w:r>
      <w:r w:rsidRPr="00C2259E">
        <w:rPr>
          <w:lang w:val="en-US"/>
        </w:rPr>
        <w:cr/>
        <w:t>-Social dimension: these measures how an issuer operates on two distinct concepts: the issuer’s strategy to develop its human capital and the respect of the human rights in general;</w:t>
      </w:r>
      <w:r w:rsidRPr="00C2259E">
        <w:rPr>
          <w:lang w:val="en-US"/>
        </w:rPr>
        <w:cr/>
        <w:t xml:space="preserve"> - Governance dimension: This assesses capability of the issuer to ensure the basis for an effective corporate governance framework and generate value over the long-term. </w:t>
      </w:r>
      <w:r w:rsidRPr="00C2259E">
        <w:rPr>
          <w:lang w:val="en-US"/>
        </w:rPr>
        <w:cr/>
      </w:r>
      <w:r w:rsidRPr="00C2259E">
        <w:rPr>
          <w:lang w:val="en-US"/>
        </w:rPr>
        <w:c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65418A25" w14:textId="656250DF" w:rsidR="00432E0E" w:rsidRPr="00C2259E" w:rsidRDefault="00432E0E" w:rsidP="001478C5">
      <w:pPr>
        <w:jc w:val="both"/>
        <w:rPr>
          <w:lang w:val="en-US"/>
        </w:rPr>
      </w:pPr>
    </w:p>
    <w:p w14:paraId="07C55CDF" w14:textId="77777777" w:rsidR="002571B9" w:rsidRPr="00C2259E" w:rsidRDefault="002571B9" w:rsidP="001478C5">
      <w:pPr>
        <w:jc w:val="both"/>
        <w:rPr>
          <w:lang w:val="en-US"/>
        </w:rPr>
      </w:pPr>
    </w:p>
    <w:p w14:paraId="506F6D63" w14:textId="02D0B5D0" w:rsidR="001478C5" w:rsidRPr="00C2259E" w:rsidRDefault="00C74023" w:rsidP="00432E0E">
      <w:pPr>
        <w:pStyle w:val="Heading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3901A387" w14:textId="101B3968" w:rsidR="003A5B9D" w:rsidRPr="00C2259E" w:rsidRDefault="00C74023" w:rsidP="003A5B9D">
      <w:pPr>
        <w:jc w:val="both"/>
        <w:rPr>
          <w:lang w:val="en-US"/>
        </w:rPr>
      </w:pPr>
      <w:r w:rsidRPr="00C2259E">
        <w:rPr>
          <w:lang w:val="en-US"/>
        </w:rPr>
        <w:t>Amundi's ESG scores are built using Amundi's ESG analysis framework and scoring methodology. We source data from the following sources for ESG scores:  Moody, ISS-</w:t>
      </w:r>
      <w:proofErr w:type="spellStart"/>
      <w:r w:rsidRPr="00C2259E">
        <w:rPr>
          <w:lang w:val="en-US"/>
        </w:rPr>
        <w:t>Oekem</w:t>
      </w:r>
      <w:proofErr w:type="spellEnd"/>
      <w:r w:rsidRPr="00C2259E">
        <w:rPr>
          <w:lang w:val="en-US"/>
        </w:rPr>
        <w:t>, MSCI, and Sustainalytics.</w:t>
      </w:r>
    </w:p>
    <w:p w14:paraId="0EEB5002" w14:textId="7F75FAA8" w:rsidR="003A5B9D" w:rsidRPr="00C2259E" w:rsidRDefault="00C74023" w:rsidP="003A5B9D">
      <w:pPr>
        <w:jc w:val="both"/>
        <w:rPr>
          <w:lang w:val="en-US"/>
        </w:rPr>
      </w:pPr>
      <w:r w:rsidRPr="00C2259E">
        <w:rPr>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746907A8" w14:textId="6C1E01DB" w:rsidR="003A5B9D" w:rsidRPr="00C2259E" w:rsidRDefault="00C74023" w:rsidP="003A5B9D">
      <w:pPr>
        <w:jc w:val="both"/>
        <w:rPr>
          <w:lang w:val="en-US"/>
        </w:rPr>
      </w:pPr>
      <w:r w:rsidRPr="00C2259E">
        <w:rPr>
          <w:lang w:val="en-US"/>
        </w:rPr>
        <w:t>External data are collected and controlled by the Global Data Management team and are plugged into the SRI module.</w:t>
      </w:r>
      <w:r w:rsidRPr="00C2259E">
        <w:rPr>
          <w:lang w:val="en-US"/>
        </w:rPr>
        <w:cr/>
      </w:r>
      <w:r w:rsidRPr="00C2259E">
        <w:rPr>
          <w:lang w:val="en-US"/>
        </w:rPr>
        <w:cr/>
        <w:t>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w:t>
      </w:r>
      <w:r w:rsidRPr="00C2259E">
        <w:rPr>
          <w:lang w:val="en-US"/>
        </w:rPr>
        <w:cr/>
      </w:r>
      <w:r w:rsidRPr="00C2259E">
        <w:rPr>
          <w:lang w:val="en-US"/>
        </w:rPr>
        <w:cr/>
        <w:t xml:space="preserve"> For ESG ratings, at each stage of the calculation process, the scores are </w:t>
      </w:r>
      <w:proofErr w:type="spellStart"/>
      <w:r w:rsidRPr="00C2259E">
        <w:rPr>
          <w:lang w:val="en-US"/>
        </w:rPr>
        <w:t>normalised</w:t>
      </w:r>
      <w:proofErr w:type="spellEnd"/>
      <w:r w:rsidRPr="00C2259E">
        <w:rPr>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r w:rsidRPr="00C2259E">
        <w:rPr>
          <w:lang w:val="en-US"/>
        </w:rPr>
        <w:cr/>
      </w:r>
      <w:r w:rsidRPr="00C2259E">
        <w:rPr>
          <w:lang w:val="en-US"/>
        </w:rPr>
        <w:cr/>
        <w:t>Data is then disseminated via Alto front office to portfolio managers and is monitored by the risk team.</w:t>
      </w:r>
    </w:p>
    <w:p w14:paraId="5DC44940" w14:textId="56F65D77" w:rsidR="001478C5" w:rsidRPr="00C2259E" w:rsidRDefault="00C74023" w:rsidP="003A5B9D">
      <w:pPr>
        <w:jc w:val="both"/>
        <w:rPr>
          <w:lang w:val="en-US"/>
        </w:rPr>
      </w:pPr>
      <w:r w:rsidRPr="00C2259E">
        <w:rPr>
          <w:lang w:val="en-US"/>
        </w:rPr>
        <w:lastRenderedPageBreak/>
        <w:t xml:space="preserve">ESG scores utilize data derived from external data providers, internal ESG assessment/research conducted by Amundi, or through a regulated third party </w:t>
      </w:r>
      <w:proofErr w:type="spellStart"/>
      <w:r w:rsidRPr="00C2259E">
        <w:rPr>
          <w:lang w:val="en-US"/>
        </w:rPr>
        <w:t>recognised</w:t>
      </w:r>
      <w:proofErr w:type="spellEnd"/>
      <w:r w:rsidRPr="00C2259E">
        <w:rPr>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C2259E" w:rsidRDefault="00E72F77" w:rsidP="003A5B9D">
      <w:pPr>
        <w:jc w:val="both"/>
        <w:rPr>
          <w:lang w:val="en-US"/>
        </w:rPr>
      </w:pPr>
    </w:p>
    <w:p w14:paraId="477D6057" w14:textId="77777777" w:rsidR="002571B9" w:rsidRPr="00C2259E" w:rsidRDefault="002571B9" w:rsidP="003A5B9D">
      <w:pPr>
        <w:jc w:val="both"/>
        <w:rPr>
          <w:lang w:val="en-US"/>
        </w:rPr>
      </w:pPr>
    </w:p>
    <w:p w14:paraId="4E3B17BB" w14:textId="5B512753" w:rsidR="001478C5" w:rsidRPr="00C2259E" w:rsidRDefault="00C74023" w:rsidP="001478C5">
      <w:pPr>
        <w:pStyle w:val="Heading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30ABD22B" w14:textId="20F49479" w:rsidR="003A5B9D" w:rsidRPr="00C2259E" w:rsidRDefault="00C74023" w:rsidP="003A5B9D">
      <w:pPr>
        <w:jc w:val="both"/>
        <w:rPr>
          <w:lang w:val="en-US"/>
        </w:rPr>
      </w:pPr>
      <w:r w:rsidRPr="00C2259E">
        <w:rPr>
          <w:lang w:val="en-US"/>
        </w:rPr>
        <w:t xml:space="preserve">Our methodology limitations are by construction linked to use of ESG data. The ESG data landscape is currently being </w:t>
      </w:r>
      <w:proofErr w:type="spellStart"/>
      <w:r w:rsidRPr="00C2259E">
        <w:rPr>
          <w:lang w:val="en-US"/>
        </w:rPr>
        <w:t>standardised</w:t>
      </w:r>
      <w:proofErr w:type="spellEnd"/>
      <w:r w:rsidRPr="00C2259E">
        <w:rPr>
          <w:lang w:val="en-US"/>
        </w:rPr>
        <w:t xml:space="preserve"> which can impact data quality; data coverage also is a limitation. Current and future regulation will improve standardized reporting and corporate disclosures on which ESG data rely.</w:t>
      </w:r>
    </w:p>
    <w:p w14:paraId="4DF43527" w14:textId="6A73D85E" w:rsidR="001478C5" w:rsidRPr="00C2259E" w:rsidRDefault="00C74023" w:rsidP="003A5B9D">
      <w:pPr>
        <w:jc w:val="both"/>
        <w:rPr>
          <w:lang w:val="en-US"/>
        </w:rPr>
      </w:pPr>
      <w:r w:rsidRPr="00C2259E">
        <w:rPr>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C2259E" w:rsidRDefault="003A5B9D" w:rsidP="003A5B9D">
      <w:pPr>
        <w:jc w:val="both"/>
        <w:rPr>
          <w:lang w:val="en-US"/>
        </w:rPr>
      </w:pPr>
    </w:p>
    <w:p w14:paraId="1B0C4F29" w14:textId="77777777" w:rsidR="002571B9" w:rsidRPr="00C2259E" w:rsidRDefault="002571B9" w:rsidP="003A5B9D">
      <w:pPr>
        <w:jc w:val="both"/>
        <w:rPr>
          <w:lang w:val="en-US"/>
        </w:rPr>
      </w:pPr>
    </w:p>
    <w:p w14:paraId="72B0FC1D" w14:textId="424591D0" w:rsidR="001478C5" w:rsidRPr="00642A6C" w:rsidRDefault="00C74023" w:rsidP="00C2259E">
      <w:pPr>
        <w:pStyle w:val="Heading2"/>
        <w:jc w:val="both"/>
        <w:rPr>
          <w:b/>
          <w:color w:val="auto"/>
          <w:lang w:val="en-US"/>
        </w:rPr>
      </w:pPr>
      <w:r w:rsidRPr="00642A6C">
        <w:rPr>
          <w:b/>
          <w:color w:val="auto"/>
          <w:lang w:val="en-US"/>
        </w:rPr>
        <w:t>Due diligence</w:t>
      </w:r>
    </w:p>
    <w:p w14:paraId="01F7C211" w14:textId="77777777" w:rsidR="002571B9" w:rsidRPr="00642A6C" w:rsidRDefault="002571B9" w:rsidP="001478C5">
      <w:pPr>
        <w:jc w:val="both"/>
        <w:rPr>
          <w:lang w:val="en-US"/>
        </w:rPr>
      </w:pPr>
    </w:p>
    <w:p w14:paraId="0AC4C75F" w14:textId="3D966EB7" w:rsidR="001478C5" w:rsidRPr="00642A6C" w:rsidRDefault="00C74023" w:rsidP="001478C5">
      <w:pPr>
        <w:jc w:val="both"/>
        <w:rPr>
          <w:lang w:val="en-US"/>
        </w:rPr>
      </w:pPr>
      <w:r w:rsidRPr="00642A6C">
        <w:rPr>
          <w:lang w:val="en-US"/>
        </w:rPr>
        <w:t xml:space="preserve">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w:t>
      </w:r>
      <w:proofErr w:type="spellStart"/>
      <w:r w:rsidRPr="00642A6C">
        <w:rPr>
          <w:lang w:val="en-US"/>
        </w:rPr>
        <w:t>iPortal</w:t>
      </w:r>
      <w:proofErr w:type="spellEnd"/>
      <w:r w:rsidRPr="00642A6C">
        <w:rPr>
          <w:lang w:val="en-US"/>
        </w:rPr>
        <w:t>. This can also be subject to a validation of the ESG Rating Committee.</w:t>
      </w:r>
      <w:r w:rsidRPr="00642A6C">
        <w:rPr>
          <w:lang w:val="en-US"/>
        </w:rPr>
        <w:cr/>
      </w:r>
      <w:r w:rsidRPr="00642A6C">
        <w:rPr>
          <w:lang w:val="en-US"/>
        </w:rPr>
        <w:c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642A6C" w:rsidRDefault="003A5B9D" w:rsidP="001478C5">
      <w:pPr>
        <w:jc w:val="both"/>
        <w:rPr>
          <w:lang w:val="en-US"/>
        </w:rPr>
      </w:pPr>
    </w:p>
    <w:p w14:paraId="655B1DE5" w14:textId="77777777" w:rsidR="002571B9" w:rsidRPr="00642A6C" w:rsidRDefault="002571B9" w:rsidP="001478C5">
      <w:pPr>
        <w:jc w:val="both"/>
        <w:rPr>
          <w:lang w:val="en-US"/>
        </w:rPr>
      </w:pPr>
    </w:p>
    <w:p w14:paraId="257F6900" w14:textId="2ABBAECF" w:rsidR="001478C5" w:rsidRPr="00642A6C" w:rsidRDefault="00C74023" w:rsidP="00C2259E">
      <w:pPr>
        <w:pStyle w:val="Heading2"/>
        <w:jc w:val="both"/>
        <w:rPr>
          <w:b/>
          <w:color w:val="auto"/>
          <w:lang w:val="en-US"/>
        </w:rPr>
      </w:pPr>
      <w:r w:rsidRPr="00642A6C">
        <w:rPr>
          <w:b/>
          <w:color w:val="auto"/>
          <w:lang w:val="en-US"/>
        </w:rPr>
        <w:t>Engagement policies</w:t>
      </w:r>
    </w:p>
    <w:p w14:paraId="7D2DFAA9" w14:textId="77777777" w:rsidR="00E77637" w:rsidRPr="00642A6C" w:rsidRDefault="00E77637" w:rsidP="001478C5">
      <w:pPr>
        <w:jc w:val="both"/>
        <w:rPr>
          <w:rFonts w:asciiTheme="majorHAnsi" w:eastAsiaTheme="majorEastAsia" w:hAnsiTheme="majorHAnsi" w:cstheme="majorBidi"/>
          <w:bCs/>
          <w:lang w:val="en-US"/>
        </w:rPr>
      </w:pPr>
    </w:p>
    <w:p w14:paraId="2E3D9F8E" w14:textId="0D3716E3" w:rsidR="001478C5" w:rsidRPr="00C2259E" w:rsidRDefault="00C74023" w:rsidP="001478C5">
      <w:pPr>
        <w:jc w:val="both"/>
        <w:rPr>
          <w:lang w:val="en-US"/>
        </w:rPr>
      </w:pPr>
      <w:r w:rsidRPr="00C2259E">
        <w:rPr>
          <w:lang w:val="en-US"/>
        </w:rPr>
        <w:t xml:space="preserve">Amundi engages investee or potential investee companies at the issuer level regardless of the type of holdings held (equity and bonds). Issuers engaged are primarily chosen by the level of exposure to the </w:t>
      </w:r>
      <w:r w:rsidRPr="00C2259E">
        <w:rPr>
          <w:lang w:val="en-US"/>
        </w:rPr>
        <w:lastRenderedPageBreak/>
        <w:t>subject of engagement, as the environmental, social, and governance issues that companies face have a major impact on society, both in terms of risk and opportunities.</w:t>
      </w:r>
    </w:p>
    <w:p w14:paraId="1575B232" w14:textId="7396C0FD" w:rsidR="00D908C4" w:rsidRPr="00C2259E" w:rsidRDefault="00D908C4" w:rsidP="001478C5">
      <w:pPr>
        <w:jc w:val="both"/>
        <w:rPr>
          <w:lang w:val="en-US"/>
        </w:rPr>
      </w:pPr>
    </w:p>
    <w:p w14:paraId="7976B234" w14:textId="77777777" w:rsidR="002571B9" w:rsidRPr="00C2259E" w:rsidRDefault="002571B9" w:rsidP="001478C5">
      <w:pPr>
        <w:jc w:val="both"/>
        <w:rPr>
          <w:lang w:val="en-US"/>
        </w:rPr>
      </w:pPr>
    </w:p>
    <w:p w14:paraId="75B7F50F" w14:textId="0ED8ED2B" w:rsidR="001478C5" w:rsidRPr="00C2259E" w:rsidRDefault="00C74023" w:rsidP="001478C5">
      <w:pPr>
        <w:pStyle w:val="Heading2"/>
        <w:jc w:val="both"/>
        <w:rPr>
          <w:color w:val="auto"/>
          <w:lang w:val="en-US"/>
        </w:rPr>
      </w:pPr>
      <w:r w:rsidRPr="00C2259E">
        <w:rPr>
          <w:b/>
          <w:color w:val="auto"/>
          <w:lang w:val="en-US"/>
        </w:rPr>
        <w:t>Designated reference benchmark</w:t>
      </w:r>
    </w:p>
    <w:p w14:paraId="2D413A36" w14:textId="63C75B42" w:rsidR="001478C5" w:rsidRPr="00C2259E" w:rsidRDefault="001478C5" w:rsidP="001478C5">
      <w:pPr>
        <w:jc w:val="both"/>
        <w:rPr>
          <w:lang w:val="en-US"/>
        </w:rPr>
      </w:pPr>
    </w:p>
    <w:p w14:paraId="70F9F637" w14:textId="0346B41D" w:rsidR="005804D7" w:rsidRPr="00C2259E" w:rsidRDefault="00C74023" w:rsidP="005804D7">
      <w:pPr>
        <w:jc w:val="both"/>
        <w:rPr>
          <w:lang w:val="en-US"/>
        </w:rPr>
      </w:pPr>
      <w:r w:rsidRPr="00C2259E">
        <w:rPr>
          <w:lang w:val="en-US"/>
        </w:rPr>
        <w:t>Yes, the Index has been designated as a reference benchmark to determine whether the Sub-Fund is aligned with the environmental and/or social characteristics that it promotes.</w:t>
      </w:r>
    </w:p>
    <w:p w14:paraId="406799B6" w14:textId="4A786093" w:rsidR="005804D7" w:rsidRPr="00C2259E" w:rsidRDefault="00C74023" w:rsidP="005804D7">
      <w:pPr>
        <w:jc w:val="both"/>
        <w:rPr>
          <w:lang w:val="en-US"/>
        </w:rPr>
      </w:pPr>
      <w:r w:rsidRPr="00C2259E">
        <w:rPr>
          <w:lang w:val="en-US"/>
        </w:rPr>
        <w:t>According to applicable regulations to index sponsors (including BMR), index sponsors should define appropriate controls/diligence when defining and/or operating index methodologies of regulated indexes.</w:t>
      </w:r>
    </w:p>
    <w:p w14:paraId="6180AD29" w14:textId="76D6E0A8" w:rsidR="005804D7" w:rsidRPr="00C2259E" w:rsidRDefault="00C74023" w:rsidP="005804D7">
      <w:pPr>
        <w:jc w:val="both"/>
        <w:rPr>
          <w:lang w:val="en-US"/>
        </w:rPr>
      </w:pPr>
      <w:r w:rsidRPr="00C2259E">
        <w:rPr>
          <w:lang w:val="en-US"/>
        </w:rPr>
        <w:t xml:space="preserve">The Sub-Fund tracks both the upward and the downward evolution of the </w:t>
      </w:r>
      <w:r w:rsidR="0039734C" w:rsidRPr="0039734C">
        <w:rPr>
          <w:lang w:val="en-US"/>
        </w:rPr>
        <w:t>MSCI China ESG Selection P-Series Extra Net Total Return Index</w:t>
      </w:r>
      <w:r w:rsidR="0039734C" w:rsidRPr="0039734C">
        <w:rPr>
          <w:lang w:val="en-US"/>
        </w:rPr>
        <w:t xml:space="preserve"> </w:t>
      </w:r>
      <w:r w:rsidRPr="00C2259E">
        <w:rPr>
          <w:lang w:val="en-US"/>
        </w:rPr>
        <w:t xml:space="preserve">(the "Index")denominated in US Dollars, and representative of the performance of large and </w:t>
      </w:r>
      <w:proofErr w:type="spellStart"/>
      <w:r w:rsidRPr="00C2259E">
        <w:rPr>
          <w:lang w:val="en-US"/>
        </w:rPr>
        <w:t>mid cap</w:t>
      </w:r>
      <w:proofErr w:type="spellEnd"/>
      <w:r w:rsidRPr="00C2259E">
        <w:rPr>
          <w:lang w:val="en-US"/>
        </w:rPr>
        <w:t xml:space="preserve"> stocks, across the Chinese economy, issued by companies with robust Environmental, Social and Governance (ESG) ratings, while minimizing the volatility of the difference between the return of the Sub-Fund and the return of the Index.</w:t>
      </w:r>
    </w:p>
    <w:p w14:paraId="7204E145" w14:textId="599F5E50" w:rsidR="005804D7" w:rsidRPr="00C2259E" w:rsidRDefault="00C74023" w:rsidP="005804D7">
      <w:pPr>
        <w:jc w:val="both"/>
        <w:rPr>
          <w:lang w:val="en-US"/>
        </w:rPr>
      </w:pPr>
      <w:r w:rsidRPr="00C2259E">
        <w:rPr>
          <w:lang w:val="en-US"/>
        </w:rPr>
        <w:t>Additional information on the Index can be found at https://www.msci.com/index-methodology</w:t>
      </w:r>
    </w:p>
    <w:p w14:paraId="51F212C8" w14:textId="4EC755D3" w:rsidR="002571B9" w:rsidRPr="00C2259E" w:rsidRDefault="002571B9" w:rsidP="005804D7">
      <w:pPr>
        <w:jc w:val="both"/>
        <w:rPr>
          <w:lang w:val="en-US"/>
        </w:rPr>
      </w:pPr>
    </w:p>
    <w:p w14:paraId="50347151" w14:textId="77777777" w:rsidR="002571B9" w:rsidRPr="00C2259E" w:rsidRDefault="002571B9" w:rsidP="005804D7">
      <w:pPr>
        <w:jc w:val="both"/>
        <w:rPr>
          <w:lang w:val="en-US"/>
        </w:rPr>
      </w:pPr>
    </w:p>
    <w:p w14:paraId="1E937640" w14:textId="77777777" w:rsidR="001478C5" w:rsidRPr="00C2259E" w:rsidRDefault="001478C5" w:rsidP="00C15A78">
      <w:pPr>
        <w:ind w:left="-851" w:right="-851"/>
        <w:jc w:val="both"/>
        <w:rPr>
          <w:lang w:val="en-US"/>
        </w:rPr>
      </w:pPr>
    </w:p>
    <w:sectPr w:rsidR="001478C5" w:rsidRPr="00C225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AEDE" w14:textId="77777777" w:rsidR="00642A6C" w:rsidRDefault="00642A6C" w:rsidP="00642A6C">
      <w:pPr>
        <w:spacing w:after="0" w:line="240" w:lineRule="auto"/>
      </w:pPr>
      <w:r>
        <w:separator/>
      </w:r>
    </w:p>
  </w:endnote>
  <w:endnote w:type="continuationSeparator" w:id="0">
    <w:p w14:paraId="26C47511" w14:textId="77777777" w:rsidR="00642A6C" w:rsidRDefault="00642A6C" w:rsidP="0064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DB78" w14:textId="77777777" w:rsidR="00642A6C" w:rsidRDefault="00642A6C" w:rsidP="00642A6C">
      <w:pPr>
        <w:spacing w:after="0" w:line="240" w:lineRule="auto"/>
      </w:pPr>
      <w:r>
        <w:separator/>
      </w:r>
    </w:p>
  </w:footnote>
  <w:footnote w:type="continuationSeparator" w:id="0">
    <w:p w14:paraId="21937933" w14:textId="77777777" w:rsidR="00642A6C" w:rsidRDefault="00642A6C" w:rsidP="0064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74DDD"/>
    <w:multiLevelType w:val="hybridMultilevel"/>
    <w:tmpl w:val="6472DF3A"/>
    <w:lvl w:ilvl="0" w:tplc="5DBEAED0">
      <w:start w:val="1"/>
      <w:numFmt w:val="bullet"/>
      <w:lvlText w:val=""/>
      <w:lvlJc w:val="left"/>
      <w:pPr>
        <w:tabs>
          <w:tab w:val="num" w:pos="927"/>
        </w:tabs>
        <w:ind w:left="927" w:hanging="360"/>
      </w:pPr>
      <w:rPr>
        <w:rFonts w:ascii="Symbol" w:hAnsi="Symbol" w:hint="default"/>
        <w:color w:val="BFBFBF" w:themeColor="background1" w:themeShade="BF"/>
        <w:sz w:val="44"/>
      </w:rPr>
    </w:lvl>
    <w:lvl w:ilvl="1" w:tplc="CF825880">
      <w:start w:val="1"/>
      <w:numFmt w:val="bullet"/>
      <w:lvlText w:val=""/>
      <w:lvlJc w:val="left"/>
      <w:pPr>
        <w:tabs>
          <w:tab w:val="num" w:pos="360"/>
        </w:tabs>
        <w:ind w:left="360" w:hanging="360"/>
      </w:pPr>
      <w:rPr>
        <w:rFonts w:ascii="Symbol" w:hAnsi="Symbol" w:hint="default"/>
        <w:color w:val="BFBFBF" w:themeColor="background1" w:themeShade="BF"/>
        <w:sz w:val="44"/>
      </w:rPr>
    </w:lvl>
    <w:lvl w:ilvl="2" w:tplc="9CA6353A">
      <w:start w:val="1"/>
      <w:numFmt w:val="bullet"/>
      <w:lvlText w:val=""/>
      <w:lvlJc w:val="left"/>
      <w:pPr>
        <w:tabs>
          <w:tab w:val="num" w:pos="2367"/>
        </w:tabs>
        <w:ind w:left="2367" w:hanging="360"/>
      </w:pPr>
      <w:rPr>
        <w:rFonts w:ascii="Symbol" w:hAnsi="Symbol" w:hint="default"/>
      </w:rPr>
    </w:lvl>
    <w:lvl w:ilvl="3" w:tplc="40BE2746">
      <w:start w:val="2021"/>
      <w:numFmt w:val="bullet"/>
      <w:lvlText w:val="-"/>
      <w:lvlJc w:val="left"/>
      <w:pPr>
        <w:ind w:left="785" w:hanging="360"/>
      </w:pPr>
      <w:rPr>
        <w:rFonts w:ascii="Calibri" w:eastAsiaTheme="minorHAnsi" w:hAnsi="Calibri" w:cstheme="minorBidi" w:hint="default"/>
        <w:color w:val="BFBFBF" w:themeColor="background1" w:themeShade="BF"/>
        <w:sz w:val="44"/>
      </w:rPr>
    </w:lvl>
    <w:lvl w:ilvl="4" w:tplc="1F50B3B4">
      <w:start w:val="1"/>
      <w:numFmt w:val="bullet"/>
      <w:lvlText w:val=""/>
      <w:lvlJc w:val="left"/>
      <w:pPr>
        <w:tabs>
          <w:tab w:val="num" w:pos="3807"/>
        </w:tabs>
        <w:ind w:left="3807" w:hanging="360"/>
      </w:pPr>
      <w:rPr>
        <w:rFonts w:ascii="Symbol" w:hAnsi="Symbol" w:hint="default"/>
      </w:rPr>
    </w:lvl>
    <w:lvl w:ilvl="5" w:tplc="71F8A58E">
      <w:start w:val="1"/>
      <w:numFmt w:val="bullet"/>
      <w:lvlText w:val=""/>
      <w:lvlJc w:val="left"/>
      <w:pPr>
        <w:tabs>
          <w:tab w:val="num" w:pos="4527"/>
        </w:tabs>
        <w:ind w:left="4527" w:hanging="360"/>
      </w:pPr>
      <w:rPr>
        <w:rFonts w:ascii="Symbol" w:hAnsi="Symbol" w:hint="default"/>
      </w:rPr>
    </w:lvl>
    <w:lvl w:ilvl="6" w:tplc="E8DCE222">
      <w:start w:val="1"/>
      <w:numFmt w:val="bullet"/>
      <w:lvlText w:val=""/>
      <w:lvlJc w:val="left"/>
      <w:pPr>
        <w:tabs>
          <w:tab w:val="num" w:pos="5247"/>
        </w:tabs>
        <w:ind w:left="5247" w:hanging="360"/>
      </w:pPr>
      <w:rPr>
        <w:rFonts w:ascii="Symbol" w:hAnsi="Symbol" w:hint="default"/>
      </w:rPr>
    </w:lvl>
    <w:lvl w:ilvl="7" w:tplc="BA3C1868">
      <w:start w:val="1"/>
      <w:numFmt w:val="bullet"/>
      <w:lvlText w:val=""/>
      <w:lvlJc w:val="left"/>
      <w:pPr>
        <w:tabs>
          <w:tab w:val="num" w:pos="5967"/>
        </w:tabs>
        <w:ind w:left="5967" w:hanging="360"/>
      </w:pPr>
      <w:rPr>
        <w:rFonts w:ascii="Symbol" w:hAnsi="Symbol" w:hint="default"/>
      </w:rPr>
    </w:lvl>
    <w:lvl w:ilvl="8" w:tplc="AD287CB2">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2C7630E0">
      <w:start w:val="1"/>
      <w:numFmt w:val="lowerLetter"/>
      <w:lvlText w:val="(%1)"/>
      <w:lvlJc w:val="left"/>
      <w:pPr>
        <w:ind w:left="720" w:hanging="360"/>
      </w:pPr>
      <w:rPr>
        <w:rFonts w:hint="default"/>
      </w:rPr>
    </w:lvl>
    <w:lvl w:ilvl="1" w:tplc="556449E2" w:tentative="1">
      <w:start w:val="1"/>
      <w:numFmt w:val="lowerLetter"/>
      <w:lvlText w:val="%2."/>
      <w:lvlJc w:val="left"/>
      <w:pPr>
        <w:ind w:left="1440" w:hanging="360"/>
      </w:pPr>
    </w:lvl>
    <w:lvl w:ilvl="2" w:tplc="B9F0E3DC" w:tentative="1">
      <w:start w:val="1"/>
      <w:numFmt w:val="lowerRoman"/>
      <w:lvlText w:val="%3."/>
      <w:lvlJc w:val="right"/>
      <w:pPr>
        <w:ind w:left="2160" w:hanging="180"/>
      </w:pPr>
    </w:lvl>
    <w:lvl w:ilvl="3" w:tplc="10A264B8" w:tentative="1">
      <w:start w:val="1"/>
      <w:numFmt w:val="decimal"/>
      <w:lvlText w:val="%4."/>
      <w:lvlJc w:val="left"/>
      <w:pPr>
        <w:ind w:left="2880" w:hanging="360"/>
      </w:pPr>
    </w:lvl>
    <w:lvl w:ilvl="4" w:tplc="4A7E28B4" w:tentative="1">
      <w:start w:val="1"/>
      <w:numFmt w:val="lowerLetter"/>
      <w:lvlText w:val="%5."/>
      <w:lvlJc w:val="left"/>
      <w:pPr>
        <w:ind w:left="3600" w:hanging="360"/>
      </w:pPr>
    </w:lvl>
    <w:lvl w:ilvl="5" w:tplc="0E505FB4" w:tentative="1">
      <w:start w:val="1"/>
      <w:numFmt w:val="lowerRoman"/>
      <w:lvlText w:val="%6."/>
      <w:lvlJc w:val="right"/>
      <w:pPr>
        <w:ind w:left="4320" w:hanging="180"/>
      </w:pPr>
    </w:lvl>
    <w:lvl w:ilvl="6" w:tplc="FECEC64E" w:tentative="1">
      <w:start w:val="1"/>
      <w:numFmt w:val="decimal"/>
      <w:lvlText w:val="%7."/>
      <w:lvlJc w:val="left"/>
      <w:pPr>
        <w:ind w:left="5040" w:hanging="360"/>
      </w:pPr>
    </w:lvl>
    <w:lvl w:ilvl="7" w:tplc="3830FA44" w:tentative="1">
      <w:start w:val="1"/>
      <w:numFmt w:val="lowerLetter"/>
      <w:lvlText w:val="%8."/>
      <w:lvlJc w:val="left"/>
      <w:pPr>
        <w:ind w:left="5760" w:hanging="360"/>
      </w:pPr>
    </w:lvl>
    <w:lvl w:ilvl="8" w:tplc="8816554E" w:tentative="1">
      <w:start w:val="1"/>
      <w:numFmt w:val="lowerRoman"/>
      <w:lvlText w:val="%9."/>
      <w:lvlJc w:val="right"/>
      <w:pPr>
        <w:ind w:left="6480" w:hanging="180"/>
      </w:pPr>
    </w:lvl>
  </w:abstractNum>
  <w:abstractNum w:abstractNumId="2" w15:restartNumberingAfterBreak="0">
    <w:nsid w:val="7A944A4F"/>
    <w:multiLevelType w:val="hybridMultilevel"/>
    <w:tmpl w:val="22CEBE50"/>
    <w:lvl w:ilvl="0" w:tplc="F3FC8C94">
      <w:start w:val="1"/>
      <w:numFmt w:val="lowerRoman"/>
      <w:lvlText w:val="(%1)"/>
      <w:lvlJc w:val="left"/>
      <w:pPr>
        <w:ind w:left="1080" w:hanging="720"/>
      </w:pPr>
      <w:rPr>
        <w:rFonts w:hint="default"/>
      </w:rPr>
    </w:lvl>
    <w:lvl w:ilvl="1" w:tplc="B434D21A" w:tentative="1">
      <w:start w:val="1"/>
      <w:numFmt w:val="lowerLetter"/>
      <w:lvlText w:val="%2."/>
      <w:lvlJc w:val="left"/>
      <w:pPr>
        <w:ind w:left="1440" w:hanging="360"/>
      </w:pPr>
    </w:lvl>
    <w:lvl w:ilvl="2" w:tplc="A7AE40FE" w:tentative="1">
      <w:start w:val="1"/>
      <w:numFmt w:val="lowerRoman"/>
      <w:lvlText w:val="%3."/>
      <w:lvlJc w:val="right"/>
      <w:pPr>
        <w:ind w:left="2160" w:hanging="180"/>
      </w:pPr>
    </w:lvl>
    <w:lvl w:ilvl="3" w:tplc="B372922E" w:tentative="1">
      <w:start w:val="1"/>
      <w:numFmt w:val="decimal"/>
      <w:lvlText w:val="%4."/>
      <w:lvlJc w:val="left"/>
      <w:pPr>
        <w:ind w:left="2880" w:hanging="360"/>
      </w:pPr>
    </w:lvl>
    <w:lvl w:ilvl="4" w:tplc="6AE8A4AC" w:tentative="1">
      <w:start w:val="1"/>
      <w:numFmt w:val="lowerLetter"/>
      <w:lvlText w:val="%5."/>
      <w:lvlJc w:val="left"/>
      <w:pPr>
        <w:ind w:left="3600" w:hanging="360"/>
      </w:pPr>
    </w:lvl>
    <w:lvl w:ilvl="5" w:tplc="CFFCA7AE" w:tentative="1">
      <w:start w:val="1"/>
      <w:numFmt w:val="lowerRoman"/>
      <w:lvlText w:val="%6."/>
      <w:lvlJc w:val="right"/>
      <w:pPr>
        <w:ind w:left="4320" w:hanging="180"/>
      </w:pPr>
    </w:lvl>
    <w:lvl w:ilvl="6" w:tplc="38D6B0E2" w:tentative="1">
      <w:start w:val="1"/>
      <w:numFmt w:val="decimal"/>
      <w:lvlText w:val="%7."/>
      <w:lvlJc w:val="left"/>
      <w:pPr>
        <w:ind w:left="5040" w:hanging="360"/>
      </w:pPr>
    </w:lvl>
    <w:lvl w:ilvl="7" w:tplc="3FA04D2C" w:tentative="1">
      <w:start w:val="1"/>
      <w:numFmt w:val="lowerLetter"/>
      <w:lvlText w:val="%8."/>
      <w:lvlJc w:val="left"/>
      <w:pPr>
        <w:ind w:left="5760" w:hanging="360"/>
      </w:pPr>
    </w:lvl>
    <w:lvl w:ilvl="8" w:tplc="E4EAA9C2" w:tentative="1">
      <w:start w:val="1"/>
      <w:numFmt w:val="lowerRoman"/>
      <w:lvlText w:val="%9."/>
      <w:lvlJc w:val="right"/>
      <w:pPr>
        <w:ind w:left="6480" w:hanging="180"/>
      </w:pPr>
    </w:lvl>
  </w:abstractNum>
  <w:num w:numId="1" w16cid:durableId="646281291">
    <w:abstractNumId w:val="1"/>
  </w:num>
  <w:num w:numId="2" w16cid:durableId="586307816">
    <w:abstractNumId w:val="2"/>
  </w:num>
  <w:num w:numId="3" w16cid:durableId="18286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75C6"/>
    <w:rsid w:val="001478C5"/>
    <w:rsid w:val="001510FB"/>
    <w:rsid w:val="001A4E68"/>
    <w:rsid w:val="001B13EB"/>
    <w:rsid w:val="002473A3"/>
    <w:rsid w:val="00252A49"/>
    <w:rsid w:val="00252E7E"/>
    <w:rsid w:val="002571B9"/>
    <w:rsid w:val="0033164A"/>
    <w:rsid w:val="0039734C"/>
    <w:rsid w:val="003A5B9D"/>
    <w:rsid w:val="003C68FA"/>
    <w:rsid w:val="003F0A0C"/>
    <w:rsid w:val="0041713B"/>
    <w:rsid w:val="00432E0E"/>
    <w:rsid w:val="004A350F"/>
    <w:rsid w:val="005324D2"/>
    <w:rsid w:val="005804D7"/>
    <w:rsid w:val="005E1D0B"/>
    <w:rsid w:val="00613FBC"/>
    <w:rsid w:val="00624189"/>
    <w:rsid w:val="00642A6C"/>
    <w:rsid w:val="00675A9D"/>
    <w:rsid w:val="006C2A16"/>
    <w:rsid w:val="00774DA0"/>
    <w:rsid w:val="007871A0"/>
    <w:rsid w:val="007C5B2B"/>
    <w:rsid w:val="0082219A"/>
    <w:rsid w:val="00832643"/>
    <w:rsid w:val="009D31E9"/>
    <w:rsid w:val="00A70259"/>
    <w:rsid w:val="00B227D6"/>
    <w:rsid w:val="00B363AE"/>
    <w:rsid w:val="00B91633"/>
    <w:rsid w:val="00C15A78"/>
    <w:rsid w:val="00C2259E"/>
    <w:rsid w:val="00C348D9"/>
    <w:rsid w:val="00C37B14"/>
    <w:rsid w:val="00C74023"/>
    <w:rsid w:val="00CB6D7C"/>
    <w:rsid w:val="00D2060D"/>
    <w:rsid w:val="00D908C4"/>
    <w:rsid w:val="00DA1CE3"/>
    <w:rsid w:val="00E72F77"/>
    <w:rsid w:val="00E7432D"/>
    <w:rsid w:val="00E77637"/>
    <w:rsid w:val="00E94DF4"/>
    <w:rsid w:val="00EC10E8"/>
    <w:rsid w:val="00F6179F"/>
    <w:rsid w:val="00F63A36"/>
    <w:rsid w:val="00F9793C"/>
    <w:rsid w:val="00FC398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A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2A6C"/>
  </w:style>
  <w:style w:type="paragraph" w:styleId="Footer">
    <w:name w:val="footer"/>
    <w:basedOn w:val="Normal"/>
    <w:link w:val="FooterChar"/>
    <w:uiPriority w:val="99"/>
    <w:unhideWhenUsed/>
    <w:rsid w:val="00642A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2A6C"/>
  </w:style>
  <w:style w:type="paragraph" w:styleId="Revision">
    <w:name w:val="Revision"/>
    <w:hidden/>
    <w:uiPriority w:val="99"/>
    <w:semiHidden/>
    <w:rsid w:val="00E9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7231">
      <w:bodyDiv w:val="1"/>
      <w:marLeft w:val="0"/>
      <w:marRight w:val="0"/>
      <w:marTop w:val="0"/>
      <w:marBottom w:val="0"/>
      <w:divBdr>
        <w:top w:val="none" w:sz="0" w:space="0" w:color="auto"/>
        <w:left w:val="none" w:sz="0" w:space="0" w:color="auto"/>
        <w:bottom w:val="none" w:sz="0" w:space="0" w:color="auto"/>
        <w:right w:val="none" w:sz="0" w:space="0" w:color="auto"/>
      </w:divBdr>
    </w:div>
    <w:div w:id="1151482507">
      <w:bodyDiv w:val="1"/>
      <w:marLeft w:val="0"/>
      <w:marRight w:val="0"/>
      <w:marTop w:val="0"/>
      <w:marBottom w:val="0"/>
      <w:divBdr>
        <w:top w:val="none" w:sz="0" w:space="0" w:color="auto"/>
        <w:left w:val="none" w:sz="0" w:space="0" w:color="auto"/>
        <w:bottom w:val="none" w:sz="0" w:space="0" w:color="auto"/>
        <w:right w:val="none" w:sz="0" w:space="0" w:color="auto"/>
      </w:divBdr>
    </w:div>
    <w:div w:id="21111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2862</Words>
  <Characters>15742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Akinci Vildane (AMUNDI)</cp:lastModifiedBy>
  <cp:revision>24</cp:revision>
  <dcterms:created xsi:type="dcterms:W3CDTF">2022-11-23T07:47:00Z</dcterms:created>
  <dcterms:modified xsi:type="dcterms:W3CDTF">2025-03-26T22:11:00Z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