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55E81246" w:rsidR="00432E0E" w:rsidRPr="00FE221D" w:rsidRDefault="001A1570" w:rsidP="00544441">
      <w:pPr>
        <w:ind w:left="-851" w:right="-851"/>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602E9D9" w:rsidR="005E1D0B" w:rsidRPr="00CC4F8C" w:rsidRDefault="00E03FBC" w:rsidP="003D7A6E">
            <w:pPr>
              <w:ind w:left="-101" w:right="-851"/>
              <w:jc w:val="both"/>
              <w:rPr>
                <w:lang w:val="en-US"/>
              </w:rPr>
            </w:pPr>
            <w:r w:rsidRPr="00E03FBC">
              <w:rPr>
                <w:lang w:val="en-US"/>
              </w:rPr>
              <w:t>Amundi MSCI Europe Action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77170BE4" w:rsidR="005E1D0B" w:rsidRPr="007528F2" w:rsidRDefault="005F18AC" w:rsidP="003F0A0C">
            <w:pPr>
              <w:ind w:right="-851"/>
              <w:rPr>
                <w:lang w:val="it-IT"/>
              </w:rPr>
            </w:pPr>
            <w:r w:rsidRPr="005F18AC">
              <w:rPr>
                <w:lang w:val="it-IT"/>
              </w:rPr>
              <w:t>96950051YCAIOAMW7U51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Heading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ListParagraph"/>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ListParagraph"/>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ListParagraph"/>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ListParagraph"/>
        <w:jc w:val="both"/>
        <w:rPr>
          <w:rFonts w:cstheme="minorHAnsi"/>
          <w:iCs/>
          <w:sz w:val="20"/>
          <w:szCs w:val="20"/>
          <w:lang w:val="en-US"/>
        </w:rPr>
      </w:pPr>
    </w:p>
    <w:p w14:paraId="754A3DBE" w14:textId="77777777" w:rsidR="00103686" w:rsidRPr="005623A1" w:rsidRDefault="001A1570" w:rsidP="00103686">
      <w:pPr>
        <w:pStyle w:val="ListParagraph"/>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ListParagraph"/>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ListParagraph"/>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ListParagraph"/>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Heading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DAE9131" w14:textId="280DFD07" w:rsidR="00510EFF" w:rsidRPr="00510EFF" w:rsidRDefault="00510EFF" w:rsidP="00510EFF">
      <w:pPr>
        <w:jc w:val="both"/>
        <w:rPr>
          <w:lang w:val="en-IE"/>
        </w:rPr>
      </w:pPr>
      <w:r w:rsidRPr="00510EFF">
        <w:rPr>
          <w:lang w:val="en-IE"/>
        </w:rPr>
        <w:t>The Sub-Fund promotes environmental and/or social characteristics through among others,</w:t>
      </w:r>
      <w:r>
        <w:rPr>
          <w:lang w:val="en-IE"/>
        </w:rPr>
        <w:t xml:space="preserve"> </w:t>
      </w:r>
      <w:r w:rsidRPr="00510EFF">
        <w:rPr>
          <w:lang w:val="en-IE"/>
        </w:rPr>
        <w:t>replicating an Index integrating a Climate Risk Management Score.</w:t>
      </w:r>
    </w:p>
    <w:p w14:paraId="004B1AD4" w14:textId="0479092C" w:rsidR="00510EFF" w:rsidRPr="00510EFF" w:rsidRDefault="00510EFF" w:rsidP="00510EFF">
      <w:pPr>
        <w:jc w:val="both"/>
        <w:rPr>
          <w:lang w:val="en-IE"/>
        </w:rPr>
      </w:pPr>
      <w:r w:rsidRPr="00510EFF">
        <w:rPr>
          <w:lang w:val="en-IE"/>
        </w:rPr>
        <w:t>The Index methodology is constructed using a “Best-in-class approach”: best-ranked</w:t>
      </w:r>
      <w:r>
        <w:rPr>
          <w:lang w:val="en-IE"/>
        </w:rPr>
        <w:t xml:space="preserve"> </w:t>
      </w:r>
      <w:r w:rsidRPr="00510EFF">
        <w:rPr>
          <w:lang w:val="en-IE"/>
        </w:rPr>
        <w:t>companies are selected to construct the Index.</w:t>
      </w:r>
    </w:p>
    <w:p w14:paraId="1F7CB981" w14:textId="466528E5" w:rsidR="008F0E0A" w:rsidRDefault="00510EFF" w:rsidP="00510EFF">
      <w:pPr>
        <w:jc w:val="both"/>
        <w:rPr>
          <w:lang w:val="en-IE"/>
        </w:rPr>
      </w:pPr>
      <w:r w:rsidRPr="00510EFF">
        <w:rPr>
          <w:lang w:val="en-IE"/>
        </w:rPr>
        <w:t>“Best-in-class” is an approach where leading or best-performing investments are selected</w:t>
      </w:r>
      <w:r>
        <w:rPr>
          <w:lang w:val="en-IE"/>
        </w:rPr>
        <w:t xml:space="preserve"> </w:t>
      </w:r>
      <w:r w:rsidRPr="00510EFF">
        <w:rPr>
          <w:lang w:val="en-IE"/>
        </w:rPr>
        <w:t>within a universe, industry sector or class. Using such Best-in-class approach, the Index</w:t>
      </w:r>
      <w:r>
        <w:rPr>
          <w:lang w:val="en-IE"/>
        </w:rPr>
        <w:t xml:space="preserve"> </w:t>
      </w:r>
      <w:r w:rsidRPr="00510EFF">
        <w:rPr>
          <w:lang w:val="en-IE"/>
        </w:rPr>
        <w:t>follows an extra-financial approach significantly engaging that permits the reduction by at</w:t>
      </w:r>
      <w:r>
        <w:rPr>
          <w:lang w:val="en-IE"/>
        </w:rPr>
        <w:t xml:space="preserve"> </w:t>
      </w:r>
      <w:r w:rsidRPr="00510EFF">
        <w:rPr>
          <w:lang w:val="en-IE"/>
        </w:rPr>
        <w:t>least 20% of the initial investment universe (expressed in number of issuers).</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Heading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49221916" w14:textId="0024DBF3" w:rsidR="00510EFF" w:rsidRDefault="00510EFF" w:rsidP="00510EFF">
      <w:pPr>
        <w:jc w:val="both"/>
        <w:rPr>
          <w:lang w:val="en-US"/>
        </w:rPr>
      </w:pPr>
      <w:r w:rsidRPr="00510EFF">
        <w:rPr>
          <w:lang w:val="en-US"/>
        </w:rPr>
        <w:t>The investment objective of the MULTI UNITS LUXEMBOURG – Amundi MSCI Europe Action</w:t>
      </w:r>
      <w:r>
        <w:rPr>
          <w:lang w:val="en-US"/>
        </w:rPr>
        <w:t xml:space="preserve"> </w:t>
      </w:r>
      <w:r w:rsidRPr="00510EFF">
        <w:rPr>
          <w:lang w:val="en-US"/>
        </w:rPr>
        <w:t>(the “Sub-Fund”) is to track both the upward and the downward evolution of the MSCI Europe</w:t>
      </w:r>
      <w:r>
        <w:rPr>
          <w:lang w:val="en-US"/>
        </w:rPr>
        <w:t xml:space="preserve"> </w:t>
      </w:r>
      <w:r w:rsidRPr="00510EFF">
        <w:rPr>
          <w:lang w:val="en-US"/>
        </w:rPr>
        <w:t>Climate Action Net Total Return Index (the “Index”) denominated in Euros and representative</w:t>
      </w:r>
      <w:r>
        <w:rPr>
          <w:lang w:val="en-US"/>
        </w:rPr>
        <w:t xml:space="preserve"> </w:t>
      </w:r>
      <w:r w:rsidRPr="00510EFF">
        <w:rPr>
          <w:lang w:val="en-US"/>
        </w:rPr>
        <w:t>of the performance of large and mid-cap stocks, across developed European countries, issued</w:t>
      </w:r>
      <w:r>
        <w:rPr>
          <w:lang w:val="en-US"/>
        </w:rPr>
        <w:t xml:space="preserve"> </w:t>
      </w:r>
      <w:r w:rsidRPr="00510EFF">
        <w:rPr>
          <w:lang w:val="en-US"/>
        </w:rPr>
        <w:t>by companies that have been assessed to lead their sector peers in terms of their positioning</w:t>
      </w:r>
      <w:r>
        <w:rPr>
          <w:lang w:val="en-US"/>
        </w:rPr>
        <w:t xml:space="preserve"> </w:t>
      </w:r>
      <w:r w:rsidRPr="00510EFF">
        <w:rPr>
          <w:lang w:val="en-US"/>
        </w:rPr>
        <w:t>and actions relative to climate transition, while minimizing the volatility of the difference</w:t>
      </w:r>
      <w:r>
        <w:rPr>
          <w:lang w:val="en-US"/>
        </w:rPr>
        <w:t xml:space="preserve"> </w:t>
      </w:r>
      <w:r w:rsidRPr="00510EFF">
        <w:rPr>
          <w:lang w:val="en-US"/>
        </w:rPr>
        <w:t>between the return of the Sub-Fund and the return of the Index (the “Tracking Error”).</w:t>
      </w:r>
    </w:p>
    <w:p w14:paraId="4E5E58C2" w14:textId="15B8013E" w:rsidR="00510EFF" w:rsidRPr="00510EFF" w:rsidRDefault="00510EFF" w:rsidP="00510EFF">
      <w:pPr>
        <w:jc w:val="both"/>
        <w:rPr>
          <w:lang w:val="en-US"/>
        </w:rPr>
      </w:pPr>
      <w:r w:rsidRPr="00510EFF">
        <w:rPr>
          <w:lang w:val="en-US"/>
        </w:rPr>
        <w:t>The Sub-Fund is a passively managed ETF. Its investment strategy is to replicate the Index while</w:t>
      </w:r>
      <w:r>
        <w:rPr>
          <w:lang w:val="en-US"/>
        </w:rPr>
        <w:t xml:space="preserve"> </w:t>
      </w:r>
      <w:r w:rsidRPr="00510EFF">
        <w:rPr>
          <w:lang w:val="en-US"/>
        </w:rPr>
        <w:t>minimizing the related tracking error.</w:t>
      </w:r>
    </w:p>
    <w:p w14:paraId="0A77DCD1" w14:textId="5B611BC2" w:rsidR="00510EFF" w:rsidRPr="00510EFF" w:rsidRDefault="00510EFF" w:rsidP="00510EFF">
      <w:pPr>
        <w:jc w:val="both"/>
        <w:rPr>
          <w:lang w:val="en-US"/>
        </w:rPr>
      </w:pPr>
      <w:r w:rsidRPr="00510EFF">
        <w:rPr>
          <w:lang w:val="en-US"/>
        </w:rPr>
        <w:t>The Index is based on the Parent Index and includes large and mid-cap securities of the European</w:t>
      </w:r>
      <w:r>
        <w:rPr>
          <w:lang w:val="en-US"/>
        </w:rPr>
        <w:t xml:space="preserve"> </w:t>
      </w:r>
      <w:r w:rsidRPr="00510EFF">
        <w:rPr>
          <w:lang w:val="en-US"/>
        </w:rPr>
        <w:t>developed equity market.</w:t>
      </w:r>
    </w:p>
    <w:p w14:paraId="7C3412BE" w14:textId="3FF92CD0" w:rsidR="00510EFF" w:rsidRPr="00510EFF" w:rsidRDefault="00510EFF" w:rsidP="00510EFF">
      <w:pPr>
        <w:jc w:val="both"/>
        <w:rPr>
          <w:lang w:val="en-US"/>
        </w:rPr>
      </w:pPr>
      <w:r w:rsidRPr="00510EFF">
        <w:rPr>
          <w:lang w:val="en-US"/>
        </w:rPr>
        <w:lastRenderedPageBreak/>
        <w:t>It aims to represent the performance of large and mid-cap stocks, across developed European</w:t>
      </w:r>
      <w:r>
        <w:rPr>
          <w:lang w:val="en-US"/>
        </w:rPr>
        <w:t xml:space="preserve"> </w:t>
      </w:r>
      <w:r w:rsidRPr="00510EFF">
        <w:rPr>
          <w:lang w:val="en-US"/>
        </w:rPr>
        <w:t>countries, issued by companies that have been assessed to lead their sector peers in terms of their</w:t>
      </w:r>
      <w:r>
        <w:rPr>
          <w:lang w:val="en-US"/>
        </w:rPr>
        <w:t xml:space="preserve"> </w:t>
      </w:r>
      <w:r w:rsidRPr="00510EFF">
        <w:rPr>
          <w:lang w:val="en-US"/>
        </w:rPr>
        <w:t>positioning and actions relative to climate transition while minimizing the volatility of the difference</w:t>
      </w:r>
      <w:r>
        <w:rPr>
          <w:lang w:val="en-US"/>
        </w:rPr>
        <w:t xml:space="preserve"> </w:t>
      </w:r>
      <w:r w:rsidRPr="00510EFF">
        <w:rPr>
          <w:lang w:val="en-US"/>
        </w:rPr>
        <w:t>between the return of the Index and the return of the Parent Index. The Index is an equity index</w:t>
      </w:r>
      <w:r>
        <w:rPr>
          <w:lang w:val="en-US"/>
        </w:rPr>
        <w:t xml:space="preserve"> </w:t>
      </w:r>
      <w:r w:rsidRPr="00510EFF">
        <w:rPr>
          <w:lang w:val="en-US"/>
        </w:rPr>
        <w:t>calculated and published by the international index provider MSCI which features the following</w:t>
      </w:r>
      <w:r>
        <w:rPr>
          <w:lang w:val="en-US"/>
        </w:rPr>
        <w:t xml:space="preserve"> </w:t>
      </w:r>
      <w:r w:rsidRPr="00510EFF">
        <w:rPr>
          <w:lang w:val="en-US"/>
        </w:rPr>
        <w:t>characteristics:</w:t>
      </w:r>
    </w:p>
    <w:p w14:paraId="74BFFA3B" w14:textId="77777777" w:rsidR="00510EFF" w:rsidRPr="00510EFF" w:rsidRDefault="00510EFF" w:rsidP="00510EFF">
      <w:pPr>
        <w:jc w:val="both"/>
        <w:rPr>
          <w:lang w:val="en-US"/>
        </w:rPr>
      </w:pPr>
      <w:r w:rsidRPr="00510EFF">
        <w:rPr>
          <w:lang w:val="en-US"/>
        </w:rPr>
        <w:t>1) Eligible Universe</w:t>
      </w:r>
    </w:p>
    <w:p w14:paraId="03EFA957" w14:textId="77777777" w:rsidR="00510EFF" w:rsidRPr="00510EFF" w:rsidRDefault="00510EFF" w:rsidP="00510EFF">
      <w:pPr>
        <w:jc w:val="both"/>
        <w:rPr>
          <w:lang w:val="en-US"/>
        </w:rPr>
      </w:pPr>
      <w:r w:rsidRPr="00510EFF">
        <w:rPr>
          <w:lang w:val="en-US"/>
        </w:rPr>
        <w:t>a) Same investment universe as the Parent Index);</w:t>
      </w:r>
    </w:p>
    <w:p w14:paraId="63C44D29" w14:textId="06D51FA5" w:rsidR="00510EFF" w:rsidRPr="00510EFF" w:rsidRDefault="00510EFF" w:rsidP="00510EFF">
      <w:pPr>
        <w:jc w:val="both"/>
        <w:rPr>
          <w:lang w:val="en-US"/>
        </w:rPr>
      </w:pPr>
      <w:r w:rsidRPr="00510EFF">
        <w:rPr>
          <w:lang w:val="en-US"/>
        </w:rPr>
        <w:t>b) an ESG negative screening is performed on the investment universe as defined in the methodology</w:t>
      </w:r>
      <w:r>
        <w:rPr>
          <w:lang w:val="en-US"/>
        </w:rPr>
        <w:t xml:space="preserve"> </w:t>
      </w:r>
      <w:r w:rsidRPr="00510EFF">
        <w:rPr>
          <w:lang w:val="en-US"/>
        </w:rPr>
        <w:t>in order to exclude:</w:t>
      </w:r>
    </w:p>
    <w:p w14:paraId="17A180A7" w14:textId="5660C27B" w:rsidR="00510EFF" w:rsidRPr="00510EFF" w:rsidRDefault="00510EFF" w:rsidP="00510EFF">
      <w:pPr>
        <w:jc w:val="both"/>
        <w:rPr>
          <w:lang w:val="en-US"/>
        </w:rPr>
      </w:pPr>
      <w:r w:rsidRPr="00510EFF">
        <w:rPr>
          <w:lang w:val="en-US"/>
        </w:rPr>
        <w:t>- companies with exposure to controversial business activities and which meet the business</w:t>
      </w:r>
      <w:r>
        <w:rPr>
          <w:lang w:val="en-US"/>
        </w:rPr>
        <w:t xml:space="preserve"> </w:t>
      </w:r>
      <w:r w:rsidRPr="00510EFF">
        <w:rPr>
          <w:lang w:val="en-US"/>
        </w:rPr>
        <w:t>involvement exclusions criteria (as detailed in the methodology) such as: tobacco, nuclear weapons,</w:t>
      </w:r>
      <w:r>
        <w:rPr>
          <w:lang w:val="en-US"/>
        </w:rPr>
        <w:t xml:space="preserve"> </w:t>
      </w:r>
      <w:r w:rsidRPr="00510EFF">
        <w:rPr>
          <w:lang w:val="en-US"/>
        </w:rPr>
        <w:t>thermal coal mining, oil sands extraction, controversial weapons;</w:t>
      </w:r>
    </w:p>
    <w:p w14:paraId="29D14B87" w14:textId="77777777" w:rsidR="00510EFF" w:rsidRPr="00510EFF" w:rsidRDefault="00510EFF" w:rsidP="00510EFF">
      <w:pPr>
        <w:jc w:val="both"/>
        <w:rPr>
          <w:lang w:val="en-US"/>
        </w:rPr>
      </w:pPr>
      <w:r w:rsidRPr="00510EFF">
        <w:rPr>
          <w:lang w:val="en-US"/>
        </w:rPr>
        <w:t>- companies involved in a very severe ESG controversy (based on the MSCI ESG Controversy score);</w:t>
      </w:r>
    </w:p>
    <w:p w14:paraId="2D737B8F" w14:textId="1CCFF8C8" w:rsidR="00510EFF" w:rsidRPr="00510EFF" w:rsidRDefault="00510EFF" w:rsidP="00510EFF">
      <w:pPr>
        <w:jc w:val="both"/>
        <w:rPr>
          <w:lang w:val="en-US"/>
        </w:rPr>
      </w:pPr>
      <w:r w:rsidRPr="00510EFF">
        <w:rPr>
          <w:lang w:val="en-US"/>
        </w:rPr>
        <w:t>- securities which either have higher emission intensity than the high emission threshold as defined in</w:t>
      </w:r>
      <w:r>
        <w:rPr>
          <w:lang w:val="en-US"/>
        </w:rPr>
        <w:t xml:space="preserve"> </w:t>
      </w:r>
      <w:r w:rsidRPr="00510EFF">
        <w:rPr>
          <w:lang w:val="en-US"/>
        </w:rPr>
        <w:t>the index methodology or do not yet have approved science-based targets</w:t>
      </w:r>
    </w:p>
    <w:p w14:paraId="436CD783" w14:textId="01289645" w:rsidR="00510EFF" w:rsidRPr="00510EFF" w:rsidRDefault="00510EFF" w:rsidP="00510EFF">
      <w:pPr>
        <w:jc w:val="both"/>
        <w:rPr>
          <w:lang w:val="en-US"/>
        </w:rPr>
      </w:pPr>
      <w:r w:rsidRPr="00510EFF">
        <w:rPr>
          <w:lang w:val="en-US"/>
        </w:rPr>
        <w:t>- companies which are in the lowest quartile of their GICS sector based on their Climate Risk</w:t>
      </w:r>
      <w:r>
        <w:rPr>
          <w:lang w:val="en-US"/>
        </w:rPr>
        <w:t xml:space="preserve"> </w:t>
      </w:r>
      <w:r w:rsidRPr="00510EFF">
        <w:rPr>
          <w:lang w:val="en-US"/>
        </w:rPr>
        <w:t>Management Score (as defined in the methodology).</w:t>
      </w:r>
    </w:p>
    <w:p w14:paraId="4194978E" w14:textId="77777777" w:rsidR="00510EFF" w:rsidRPr="00510EFF" w:rsidRDefault="00510EFF" w:rsidP="00510EFF">
      <w:pPr>
        <w:jc w:val="both"/>
        <w:rPr>
          <w:lang w:val="en-US"/>
        </w:rPr>
      </w:pPr>
      <w:r w:rsidRPr="00510EFF">
        <w:rPr>
          <w:lang w:val="en-US"/>
        </w:rPr>
        <w:t>2) Selection of companies in the index</w:t>
      </w:r>
    </w:p>
    <w:p w14:paraId="09BCCECB" w14:textId="1D7B0B6D" w:rsidR="00510EFF" w:rsidRPr="00510EFF" w:rsidRDefault="00510EFF" w:rsidP="00510EFF">
      <w:pPr>
        <w:jc w:val="both"/>
        <w:rPr>
          <w:lang w:val="en-US"/>
        </w:rPr>
      </w:pPr>
      <w:r w:rsidRPr="00510EFF">
        <w:rPr>
          <w:lang w:val="en-US"/>
        </w:rPr>
        <w:t>Companies from the eligible universe are assigned to a quartile based on their Scope 1+2+3</w:t>
      </w:r>
      <w:r>
        <w:rPr>
          <w:lang w:val="en-US"/>
        </w:rPr>
        <w:t xml:space="preserve"> </w:t>
      </w:r>
      <w:r w:rsidRPr="00510EFF">
        <w:rPr>
          <w:lang w:val="en-US"/>
        </w:rPr>
        <w:t>Greenhouse Gas Intensity, climate management weighted average score, emissions reduction</w:t>
      </w:r>
      <w:r>
        <w:rPr>
          <w:lang w:val="en-US"/>
        </w:rPr>
        <w:t xml:space="preserve"> </w:t>
      </w:r>
      <w:r w:rsidRPr="00510EFF">
        <w:rPr>
          <w:lang w:val="en-US"/>
        </w:rPr>
        <w:t>commitments, and their green business revenues.</w:t>
      </w:r>
    </w:p>
    <w:p w14:paraId="2921C847" w14:textId="39C7ADE6" w:rsidR="00510EFF" w:rsidRPr="00510EFF" w:rsidRDefault="00510EFF" w:rsidP="00510EFF">
      <w:pPr>
        <w:jc w:val="both"/>
        <w:rPr>
          <w:lang w:val="en-US"/>
        </w:rPr>
      </w:pPr>
      <w:r w:rsidRPr="00510EFF">
        <w:rPr>
          <w:lang w:val="en-US"/>
        </w:rPr>
        <w:t>Then securities are classified by descending order of float adjusted market capitalization. Finally, for</w:t>
      </w:r>
      <w:r>
        <w:rPr>
          <w:lang w:val="en-US"/>
        </w:rPr>
        <w:t xml:space="preserve"> </w:t>
      </w:r>
      <w:r w:rsidRPr="00510EFF">
        <w:rPr>
          <w:lang w:val="en-US"/>
        </w:rPr>
        <w:t>each GICS sector, securities are selected from the top by quartile until the number of selected stocks</w:t>
      </w:r>
      <w:r>
        <w:rPr>
          <w:lang w:val="en-US"/>
        </w:rPr>
        <w:t xml:space="preserve"> </w:t>
      </w:r>
      <w:r w:rsidRPr="00510EFF">
        <w:rPr>
          <w:lang w:val="en-US"/>
        </w:rPr>
        <w:t>correspond to 50% of the number of securities in the Parent Index. For more detail on this selection</w:t>
      </w:r>
      <w:r>
        <w:rPr>
          <w:lang w:val="en-US"/>
        </w:rPr>
        <w:t xml:space="preserve"> </w:t>
      </w:r>
      <w:r w:rsidRPr="00510EFF">
        <w:rPr>
          <w:lang w:val="en-US"/>
        </w:rPr>
        <w:t>process please refer to the index methodology</w:t>
      </w:r>
    </w:p>
    <w:p w14:paraId="7E38F66C" w14:textId="5E0008C8" w:rsidR="00510EFF" w:rsidRDefault="00510EFF" w:rsidP="00510EFF">
      <w:pPr>
        <w:jc w:val="both"/>
        <w:rPr>
          <w:lang w:val="en-US"/>
        </w:rPr>
      </w:pPr>
      <w:r w:rsidRPr="00510EFF">
        <w:rPr>
          <w:lang w:val="en-US"/>
        </w:rPr>
        <w:t xml:space="preserve">The Product strategy is also relying on systematic exclusions policies (normative and </w:t>
      </w:r>
      <w:proofErr w:type="spellStart"/>
      <w:r w:rsidRPr="00510EFF">
        <w:rPr>
          <w:lang w:val="en-US"/>
        </w:rPr>
        <w:t>sectorials</w:t>
      </w:r>
      <w:proofErr w:type="spellEnd"/>
      <w:r w:rsidRPr="00510EFF">
        <w:rPr>
          <w:lang w:val="en-US"/>
        </w:rPr>
        <w:t>) as</w:t>
      </w:r>
      <w:r>
        <w:rPr>
          <w:lang w:val="en-US"/>
        </w:rPr>
        <w:t xml:space="preserve"> </w:t>
      </w:r>
      <w:r w:rsidRPr="00510EFF">
        <w:rPr>
          <w:lang w:val="en-US"/>
        </w:rPr>
        <w:t>further described in Amundi Responsible Investment policy.</w:t>
      </w:r>
    </w:p>
    <w:p w14:paraId="56D7B633" w14:textId="31DEBDBF"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 xml:space="preserve">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w:t>
      </w:r>
      <w:r w:rsidRPr="00F03360">
        <w:rPr>
          <w:lang w:val="en-US"/>
        </w:rPr>
        <w:lastRenderedPageBreak/>
        <w:t>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Heading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6E1200B0" w14:textId="70AAD1B5" w:rsidR="00510EFF" w:rsidRPr="00510EFF" w:rsidRDefault="00510EFF" w:rsidP="00510EFF">
      <w:pPr>
        <w:jc w:val="both"/>
        <w:rPr>
          <w:lang w:val="en-US"/>
        </w:rPr>
      </w:pPr>
      <w:r w:rsidRPr="00510EFF">
        <w:rPr>
          <w:lang w:val="en-US"/>
        </w:rPr>
        <w:t>At least 90% of the Sub-Fund’s, securities and instruments will meet the promoted environmental</w:t>
      </w:r>
      <w:r>
        <w:rPr>
          <w:lang w:val="en-US"/>
        </w:rPr>
        <w:t xml:space="preserve"> </w:t>
      </w:r>
      <w:r w:rsidRPr="00510EFF">
        <w:rPr>
          <w:lang w:val="en-US"/>
        </w:rPr>
        <w:t>or social characteristics in accordance with the binding elements of the Index methodology.</w:t>
      </w:r>
      <w:r>
        <w:rPr>
          <w:lang w:val="en-US"/>
        </w:rPr>
        <w:t xml:space="preserve"> </w:t>
      </w:r>
      <w:r w:rsidRPr="00510EFF">
        <w:rPr>
          <w:lang w:val="en-US"/>
        </w:rPr>
        <w:t>Furthermore, the Sub-Fund commits to have a minimum of 5% of sustainable investments as per the</w:t>
      </w:r>
      <w:r>
        <w:rPr>
          <w:lang w:val="en-US"/>
        </w:rPr>
        <w:t xml:space="preserve"> </w:t>
      </w:r>
      <w:r w:rsidRPr="00510EFF">
        <w:rPr>
          <w:lang w:val="en-US"/>
        </w:rPr>
        <w:t>below chart. Investments aligned with other E/S characteristics (#1B) will represent the difference</w:t>
      </w:r>
      <w:r>
        <w:rPr>
          <w:lang w:val="en-US"/>
        </w:rPr>
        <w:t xml:space="preserve"> </w:t>
      </w:r>
      <w:r w:rsidRPr="00510EFF">
        <w:rPr>
          <w:lang w:val="en-US"/>
        </w:rPr>
        <w:t>between the actual proportion of investments aligned with environmental or social characteristics (#1)</w:t>
      </w:r>
      <w:r>
        <w:rPr>
          <w:lang w:val="en-US"/>
        </w:rPr>
        <w:t xml:space="preserve"> </w:t>
      </w:r>
      <w:r w:rsidRPr="00510EFF">
        <w:rPr>
          <w:lang w:val="en-US"/>
        </w:rPr>
        <w:t>and the actual proportion of sustainable investments (#1A).</w:t>
      </w:r>
    </w:p>
    <w:p w14:paraId="420D81BC" w14:textId="6C853EDF" w:rsidR="0061030C" w:rsidRDefault="00510EFF" w:rsidP="00510EFF">
      <w:pPr>
        <w:jc w:val="both"/>
        <w:rPr>
          <w:lang w:val="en-US"/>
        </w:rPr>
      </w:pPr>
      <w:r w:rsidRPr="00510EFF">
        <w:rPr>
          <w:lang w:val="en-US"/>
        </w:rPr>
        <w:t>The planned proportion of other environmental investment represents a minimum of 5% and may</w:t>
      </w:r>
      <w:r>
        <w:rPr>
          <w:lang w:val="en-US"/>
        </w:rPr>
        <w:t xml:space="preserve"> </w:t>
      </w:r>
      <w:r w:rsidRPr="00510EFF">
        <w:rPr>
          <w:lang w:val="en-US"/>
        </w:rPr>
        <w:t>change as the actual proportions of Taxonomy-aligned and/or 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Heading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Heading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lastRenderedPageBreak/>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ListParagraph"/>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ListParagraph"/>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Heading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Heading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Heading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Heading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Heading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AA1787A" w14:textId="263D5D24" w:rsidR="00815AEA" w:rsidRDefault="00ED6186" w:rsidP="00ED6186">
      <w:pPr>
        <w:tabs>
          <w:tab w:val="num" w:pos="1560"/>
        </w:tabs>
        <w:spacing w:after="0"/>
        <w:jc w:val="both"/>
        <w:rPr>
          <w:lang w:val="en-US"/>
        </w:rPr>
      </w:pPr>
      <w:r w:rsidRPr="00ED6186">
        <w:rPr>
          <w:lang w:val="en-US"/>
        </w:rPr>
        <w:t>The Index is denominated in Euros and representative of the performance of large and mid-cap stocks,</w:t>
      </w:r>
      <w:r w:rsidR="00334CB9">
        <w:rPr>
          <w:lang w:val="en-US"/>
        </w:rPr>
        <w:t xml:space="preserve"> </w:t>
      </w:r>
      <w:r w:rsidRPr="00ED6186">
        <w:rPr>
          <w:lang w:val="en-US"/>
        </w:rPr>
        <w:t>across developed European countries, issued by companies that have been assessed to lead their</w:t>
      </w:r>
      <w:r w:rsidR="00334CB9">
        <w:rPr>
          <w:lang w:val="en-US"/>
        </w:rPr>
        <w:t xml:space="preserve"> </w:t>
      </w:r>
      <w:r w:rsidRPr="00ED6186">
        <w:rPr>
          <w:lang w:val="en-US"/>
        </w:rPr>
        <w:t>sector</w:t>
      </w:r>
      <w:r>
        <w:rPr>
          <w:lang w:val="en-US"/>
        </w:rPr>
        <w:t xml:space="preserve"> </w:t>
      </w:r>
      <w:r w:rsidRPr="00ED6186">
        <w:rPr>
          <w:lang w:val="en-US"/>
        </w:rPr>
        <w:t>peers in terms of their positioning and actions relative to climate transition.</w:t>
      </w:r>
    </w:p>
    <w:p w14:paraId="68E780D9" w14:textId="24F6FF54" w:rsidR="00D6120B" w:rsidRPr="00ED6186" w:rsidRDefault="00ED6186" w:rsidP="00567C54">
      <w:pPr>
        <w:tabs>
          <w:tab w:val="num" w:pos="1560"/>
        </w:tabs>
        <w:spacing w:after="0"/>
        <w:jc w:val="both"/>
        <w:rPr>
          <w:lang w:val="en-US"/>
        </w:rPr>
      </w:pPr>
      <w:r w:rsidRPr="00ED6186">
        <w:rPr>
          <w:lang w:val="en-US"/>
        </w:rPr>
        <w:t xml:space="preserve">Additional information on the Index can be found at </w:t>
      </w:r>
      <w:hyperlink r:id="rId7" w:history="1">
        <w:r w:rsidR="00BA42E9" w:rsidRPr="008B169D">
          <w:rPr>
            <w:rStyle w:val="Hyperlink"/>
            <w:lang w:val="en-US"/>
          </w:rPr>
          <w:t>https://www.msci.com/index-methodology</w:t>
        </w:r>
      </w:hyperlink>
      <w:r w:rsidRPr="00ED6186">
        <w:rPr>
          <w:lang w:val="en-US"/>
        </w:rPr>
        <w:t>.</w:t>
      </w:r>
    </w:p>
    <w:sectPr w:rsidR="00D6120B" w:rsidRPr="00ED6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27624"/>
    <w:rsid w:val="001346F6"/>
    <w:rsid w:val="00136F7A"/>
    <w:rsid w:val="001407E3"/>
    <w:rsid w:val="00141582"/>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F7141"/>
    <w:rsid w:val="001F74CA"/>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4CB9"/>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3CCC"/>
    <w:rsid w:val="00485614"/>
    <w:rsid w:val="00492750"/>
    <w:rsid w:val="004A483D"/>
    <w:rsid w:val="004B0D75"/>
    <w:rsid w:val="004B465F"/>
    <w:rsid w:val="004B5CFA"/>
    <w:rsid w:val="004C719B"/>
    <w:rsid w:val="004D1687"/>
    <w:rsid w:val="004D6989"/>
    <w:rsid w:val="004E051F"/>
    <w:rsid w:val="004E707D"/>
    <w:rsid w:val="004F0B15"/>
    <w:rsid w:val="004F513A"/>
    <w:rsid w:val="00510EFF"/>
    <w:rsid w:val="0051185F"/>
    <w:rsid w:val="00511941"/>
    <w:rsid w:val="00515866"/>
    <w:rsid w:val="005209B4"/>
    <w:rsid w:val="0053001B"/>
    <w:rsid w:val="005324D2"/>
    <w:rsid w:val="00537782"/>
    <w:rsid w:val="00540C2B"/>
    <w:rsid w:val="005439F1"/>
    <w:rsid w:val="00544441"/>
    <w:rsid w:val="005565FF"/>
    <w:rsid w:val="005623A1"/>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18AC"/>
    <w:rsid w:val="005F241D"/>
    <w:rsid w:val="005F6C0F"/>
    <w:rsid w:val="006051F9"/>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56C1"/>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368E"/>
    <w:rsid w:val="00B07A8B"/>
    <w:rsid w:val="00B14B8F"/>
    <w:rsid w:val="00B155C8"/>
    <w:rsid w:val="00B1581C"/>
    <w:rsid w:val="00B227D6"/>
    <w:rsid w:val="00B253E6"/>
    <w:rsid w:val="00B2608C"/>
    <w:rsid w:val="00B33ABD"/>
    <w:rsid w:val="00B3547F"/>
    <w:rsid w:val="00B363AE"/>
    <w:rsid w:val="00B37384"/>
    <w:rsid w:val="00B6168B"/>
    <w:rsid w:val="00B61F9C"/>
    <w:rsid w:val="00B66099"/>
    <w:rsid w:val="00B66D96"/>
    <w:rsid w:val="00B767EA"/>
    <w:rsid w:val="00B771E4"/>
    <w:rsid w:val="00B95447"/>
    <w:rsid w:val="00BA42E9"/>
    <w:rsid w:val="00BA4B8D"/>
    <w:rsid w:val="00BB16B6"/>
    <w:rsid w:val="00BB5B8B"/>
    <w:rsid w:val="00BC19FC"/>
    <w:rsid w:val="00BC36B7"/>
    <w:rsid w:val="00BC4D1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4709F"/>
    <w:rsid w:val="00C50BCF"/>
    <w:rsid w:val="00C561CE"/>
    <w:rsid w:val="00C60B36"/>
    <w:rsid w:val="00C62D2A"/>
    <w:rsid w:val="00C710EE"/>
    <w:rsid w:val="00C7215A"/>
    <w:rsid w:val="00C73E3F"/>
    <w:rsid w:val="00C74E99"/>
    <w:rsid w:val="00C7637B"/>
    <w:rsid w:val="00C76BA6"/>
    <w:rsid w:val="00C82F3C"/>
    <w:rsid w:val="00C86E30"/>
    <w:rsid w:val="00C955C4"/>
    <w:rsid w:val="00C97A7B"/>
    <w:rsid w:val="00CA1772"/>
    <w:rsid w:val="00CA7D78"/>
    <w:rsid w:val="00CB056B"/>
    <w:rsid w:val="00CB6D7C"/>
    <w:rsid w:val="00CC1AA8"/>
    <w:rsid w:val="00CC3FA8"/>
    <w:rsid w:val="00CC4F8C"/>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9E0"/>
    <w:rsid w:val="00D2174C"/>
    <w:rsid w:val="00D22BB1"/>
    <w:rsid w:val="00D237F4"/>
    <w:rsid w:val="00D27CC4"/>
    <w:rsid w:val="00D40FBB"/>
    <w:rsid w:val="00D4126C"/>
    <w:rsid w:val="00D456FB"/>
    <w:rsid w:val="00D5388D"/>
    <w:rsid w:val="00D54CBD"/>
    <w:rsid w:val="00D5727E"/>
    <w:rsid w:val="00D6120B"/>
    <w:rsid w:val="00D620C1"/>
    <w:rsid w:val="00D63DDF"/>
    <w:rsid w:val="00D77F20"/>
    <w:rsid w:val="00D82EA7"/>
    <w:rsid w:val="00D8366E"/>
    <w:rsid w:val="00D8711F"/>
    <w:rsid w:val="00D908C4"/>
    <w:rsid w:val="00D972CF"/>
    <w:rsid w:val="00DA1CE3"/>
    <w:rsid w:val="00DB00D2"/>
    <w:rsid w:val="00DB716A"/>
    <w:rsid w:val="00DC4C68"/>
    <w:rsid w:val="00DD5480"/>
    <w:rsid w:val="00DE6AED"/>
    <w:rsid w:val="00E03FBC"/>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18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0077AA"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0077AA" w:themeColor="accent1" w:themeShade="BF"/>
      <w:sz w:val="32"/>
      <w:szCs w:val="32"/>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F03360"/>
  </w:style>
  <w:style w:type="paragraph" w:styleId="Header">
    <w:name w:val="header"/>
    <w:basedOn w:val="Normal"/>
    <w:link w:val="HeaderChar"/>
    <w:uiPriority w:val="99"/>
    <w:unhideWhenUsed/>
    <w:rsid w:val="00E933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3383"/>
  </w:style>
  <w:style w:type="paragraph" w:styleId="Footer">
    <w:name w:val="footer"/>
    <w:basedOn w:val="Normal"/>
    <w:link w:val="FooterChar"/>
    <w:uiPriority w:val="99"/>
    <w:unhideWhenUsed/>
    <w:rsid w:val="00E933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PlainTable2">
    <w:name w:val="Plain Table 2"/>
    <w:basedOn w:val="Table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DefaultParagraphFont"/>
    <w:rsid w:val="00492750"/>
  </w:style>
  <w:style w:type="character" w:styleId="Hyperlink">
    <w:name w:val="Hyperlink"/>
    <w:basedOn w:val="DefaultParagraphFont"/>
    <w:uiPriority w:val="99"/>
    <w:unhideWhenUsed/>
    <w:rsid w:val="00D8366E"/>
    <w:rPr>
      <w:color w:val="00C2F0" w:themeColor="hyperlink"/>
      <w:u w:val="single"/>
    </w:rPr>
  </w:style>
  <w:style w:type="character" w:styleId="UnresolvedMention">
    <w:name w:val="Unresolved Mention"/>
    <w:basedOn w:val="DefaultParagraphFon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2723</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455</cp:revision>
  <dcterms:created xsi:type="dcterms:W3CDTF">2022-11-23T07:47:00Z</dcterms:created>
  <dcterms:modified xsi:type="dcterms:W3CDTF">2025-05-19T13:19:00Z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