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985D" w14:textId="77777777" w:rsidR="008B40A5" w:rsidRPr="00D03AAD" w:rsidRDefault="00CB31B4" w:rsidP="008B40A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5E70ED2B" w14:textId="77777777" w:rsidR="008B40A5" w:rsidRPr="00D03AAD" w:rsidRDefault="00CB31B4" w:rsidP="008B40A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614CEC" w14:paraId="3A58E765" w14:textId="77777777" w:rsidTr="003F0A0C">
        <w:tc>
          <w:tcPr>
            <w:tcW w:w="5387" w:type="dxa"/>
          </w:tcPr>
          <w:p w14:paraId="3A4A049C" w14:textId="31D81A26" w:rsidR="005E1D0B" w:rsidRPr="005C395A" w:rsidRDefault="00CB31B4" w:rsidP="00C15A78">
            <w:pPr>
              <w:ind w:left="-851" w:right="-851"/>
              <w:jc w:val="both"/>
              <w:rPr>
                <w:lang w:val="en-US"/>
              </w:rPr>
            </w:pPr>
            <w:r w:rsidRPr="005C395A">
              <w:rPr>
                <w:b/>
                <w:bCs/>
                <w:lang w:val="en-US"/>
              </w:rPr>
              <w:t xml:space="preserve">Product </w:t>
            </w:r>
            <w:r w:rsidR="00C15A78" w:rsidRPr="005C395A">
              <w:rPr>
                <w:b/>
                <w:bCs/>
                <w:lang w:val="en-US"/>
              </w:rPr>
              <w:t>N</w:t>
            </w:r>
            <w:r w:rsidRPr="005C395A">
              <w:rPr>
                <w:b/>
                <w:bCs/>
                <w:lang w:val="en-US"/>
              </w:rPr>
              <w:t>ame</w:t>
            </w:r>
            <w:r w:rsidRPr="005C395A">
              <w:rPr>
                <w:lang w:val="en-US"/>
              </w:rPr>
              <w:t xml:space="preserve">: </w:t>
            </w:r>
            <w:r w:rsidR="00E315C8" w:rsidRPr="005C395A">
              <w:rPr>
                <w:sz w:val="21"/>
                <w:szCs w:val="21"/>
                <w:lang w:val="en-US"/>
              </w:rPr>
              <w:t xml:space="preserve">Amundi MSCI China ESG </w:t>
            </w:r>
            <w:r w:rsidR="005C395A" w:rsidRPr="005C395A">
              <w:rPr>
                <w:sz w:val="21"/>
                <w:szCs w:val="21"/>
                <w:lang w:val="en-US"/>
              </w:rPr>
              <w:t>Selectio</w:t>
            </w:r>
            <w:r w:rsidR="005C395A">
              <w:rPr>
                <w:sz w:val="21"/>
                <w:szCs w:val="21"/>
                <w:lang w:val="en-US"/>
              </w:rPr>
              <w:t>n Extra</w:t>
            </w:r>
          </w:p>
        </w:tc>
        <w:tc>
          <w:tcPr>
            <w:tcW w:w="5103" w:type="dxa"/>
          </w:tcPr>
          <w:p w14:paraId="449F9D0D" w14:textId="3634B88A" w:rsidR="005E1D0B" w:rsidRPr="005E1D0B" w:rsidRDefault="00CB31B4" w:rsidP="003F0A0C">
            <w:pPr>
              <w:ind w:right="-851"/>
            </w:pPr>
            <w:r w:rsidRPr="005E1D0B">
              <w:rPr>
                <w:b/>
                <w:bCs/>
              </w:rPr>
              <w:t>Legal entity identifier</w:t>
            </w:r>
            <w:r w:rsidRPr="005E1D0B">
              <w:t xml:space="preserve">: </w:t>
            </w:r>
            <w:r w:rsidR="00E315C8" w:rsidRPr="00C2259E">
              <w:t>549300E7C8KZ5P6BZI39</w:t>
            </w:r>
          </w:p>
        </w:tc>
      </w:tr>
    </w:tbl>
    <w:p w14:paraId="69DD299F" w14:textId="77777777" w:rsidR="00252E7E" w:rsidRPr="005E1D0B" w:rsidRDefault="00252E7E" w:rsidP="00C15A78">
      <w:pPr>
        <w:pStyle w:val="Heading2"/>
        <w:ind w:left="-851" w:right="-851"/>
        <w:jc w:val="both"/>
      </w:pPr>
    </w:p>
    <w:p w14:paraId="6B980FDB" w14:textId="44844A26" w:rsidR="00CB6D7C" w:rsidRDefault="00CB6D7C" w:rsidP="00C15A78">
      <w:pPr>
        <w:ind w:left="-851" w:right="-851"/>
        <w:jc w:val="both"/>
      </w:pPr>
    </w:p>
    <w:p w14:paraId="221D7E94" w14:textId="32AB1DAC" w:rsidR="00660D2A" w:rsidRDefault="00CB31B4" w:rsidP="00660D2A">
      <w:pPr>
        <w:pStyle w:val="Heading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1D39477" w14:textId="77777777" w:rsidR="00CB31B4" w:rsidRPr="00C2259E" w:rsidRDefault="00CB31B4" w:rsidP="00CB31B4">
      <w:pPr>
        <w:jc w:val="both"/>
        <w:rPr>
          <w:lang w:val="en-US"/>
        </w:rPr>
      </w:pPr>
      <w:r w:rsidRPr="00C2259E">
        <w:rPr>
          <w:lang w:val="en-US"/>
        </w:rPr>
        <w:t>This financial product promotes environmental or social characteristics, but does not have as its objective sustainable investment</w:t>
      </w:r>
      <w:r w:rsidRPr="00C2259E">
        <w:rPr>
          <w:lang w:val="en-US"/>
        </w:rPr>
        <w:cr/>
      </w:r>
      <w:r w:rsidRPr="00C2259E">
        <w:rPr>
          <w:lang w:val="en-US"/>
        </w:rPr>
        <w:cr/>
        <w:t>This financial product commits to making sustainable investments.</w:t>
      </w:r>
    </w:p>
    <w:p w14:paraId="0CF373F9" w14:textId="77777777" w:rsidR="00CB31B4" w:rsidRPr="00C2259E" w:rsidRDefault="00CB31B4" w:rsidP="00CB31B4">
      <w:pPr>
        <w:jc w:val="both"/>
        <w:rPr>
          <w:lang w:val="en-US"/>
        </w:rPr>
      </w:pPr>
      <w:r w:rsidRPr="00C2259E">
        <w:rPr>
          <w:lang w:val="en-US"/>
        </w:rPr>
        <w:t>To ensure sustainable investments do no significant harm (‘DNSH’), Amundi utilizes two filters:</w:t>
      </w:r>
      <w:r w:rsidRPr="00C2259E">
        <w:rPr>
          <w:lang w:val="en-US"/>
        </w:rPr>
        <w:cr/>
      </w:r>
      <w:r w:rsidRPr="00C2259E">
        <w:rPr>
          <w:lang w:val="en-US"/>
        </w:rPr>
        <w:c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r w:rsidRPr="00C2259E">
        <w:rPr>
          <w:lang w:val="en-US"/>
        </w:rPr>
        <w:cr/>
      </w:r>
      <w:r w:rsidRPr="00C2259E">
        <w:rPr>
          <w:lang w:val="en-US"/>
        </w:rPr>
        <w:cr/>
        <w:t>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r w:rsidRPr="00C2259E">
        <w:rPr>
          <w:lang w:val="en-US"/>
        </w:rPr>
        <w:cr/>
      </w:r>
      <w:r w:rsidRPr="00C2259E">
        <w:rPr>
          <w:lang w:val="en-US"/>
        </w:rPr>
        <w:cr/>
        <w:t>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w:t>
      </w:r>
    </w:p>
    <w:p w14:paraId="72B4C9A8" w14:textId="77777777" w:rsidR="00CB31B4" w:rsidRPr="00C2259E" w:rsidRDefault="00CB31B4" w:rsidP="00CB31B4">
      <w:pPr>
        <w:jc w:val="both"/>
        <w:rPr>
          <w:lang w:val="en-US"/>
        </w:rPr>
      </w:pPr>
      <w:r w:rsidRPr="00C2259E">
        <w:rPr>
          <w:lang w:val="en-US"/>
        </w:rPr>
        <w:t>The indicators for adverse impacts have been taken into account as detailed in the first do not significant harm (DNSH) filter above:</w:t>
      </w:r>
      <w:r w:rsidRPr="00C2259E">
        <w:rPr>
          <w:lang w:val="en-US"/>
        </w:rPr>
        <w:cr/>
      </w:r>
      <w:r w:rsidRPr="00C2259E">
        <w:rPr>
          <w:lang w:val="en-US"/>
        </w:rPr>
        <w:cr/>
        <w:t>The first DNSH filter relies on monitoring of mandatory Principal Adverse Impacts indicators in Annex 1, Table 1 of the RTS where robust data is available via the combination of following indicators and specific thresholds or rules:</w:t>
      </w:r>
      <w:r w:rsidRPr="00C2259E">
        <w:rPr>
          <w:lang w:val="en-US"/>
        </w:rPr>
        <w:cr/>
      </w:r>
      <w:r w:rsidRPr="00C2259E">
        <w:rPr>
          <w:lang w:val="en-US"/>
        </w:rPr>
        <w:cr/>
        <w:t>•</w:t>
      </w:r>
      <w:r w:rsidRPr="00C2259E">
        <w:rPr>
          <w:lang w:val="en-US"/>
        </w:rPr>
        <w:tab/>
        <w:t xml:space="preserve">Have a CO2 intensity which does not belong to the last decile compared to other companies within its sector (only applies to high intensity sectors), and </w:t>
      </w:r>
      <w:r w:rsidRPr="00C2259E">
        <w:rPr>
          <w:lang w:val="en-US"/>
        </w:rPr>
        <w:cr/>
        <w:t>•</w:t>
      </w:r>
      <w:r w:rsidRPr="00C2259E">
        <w:rPr>
          <w:lang w:val="en-US"/>
        </w:rPr>
        <w:tab/>
        <w:t xml:space="preserve">Have a Board of Directors’ diversity which does not belong to the last decile compared to other companies within its sector, and </w:t>
      </w:r>
      <w:r w:rsidRPr="00C2259E">
        <w:rPr>
          <w:lang w:val="en-US"/>
        </w:rPr>
        <w:cr/>
        <w:t>•</w:t>
      </w:r>
      <w:r w:rsidRPr="00C2259E">
        <w:rPr>
          <w:lang w:val="en-US"/>
        </w:rPr>
        <w:tab/>
        <w:t xml:space="preserve">Be cleared of any controversy in relation to work conditions and human rights and  </w:t>
      </w:r>
      <w:r w:rsidRPr="00C2259E">
        <w:rPr>
          <w:lang w:val="en-US"/>
        </w:rPr>
        <w:cr/>
        <w:t>•</w:t>
      </w:r>
      <w:r w:rsidRPr="00C2259E">
        <w:rPr>
          <w:lang w:val="en-US"/>
        </w:rPr>
        <w:tab/>
        <w:t>Be cleared of any controversy in relation to biodiversity and pollution.</w:t>
      </w:r>
    </w:p>
    <w:p w14:paraId="410D4BF3" w14:textId="2EACEFA1" w:rsidR="00660D2A" w:rsidRDefault="00CB31B4" w:rsidP="00660D2A">
      <w:pPr>
        <w:jc w:val="both"/>
        <w:rPr>
          <w:lang w:val="en-US"/>
        </w:rPr>
      </w:pPr>
      <w:r w:rsidRPr="00C2259E">
        <w:rPr>
          <w:lang w:val="en-US"/>
        </w:rPr>
        <w:lastRenderedPageBreak/>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25A15EC7" w14:textId="77777777" w:rsidR="00660D2A" w:rsidRDefault="00660D2A" w:rsidP="00660D2A">
      <w:pPr>
        <w:jc w:val="both"/>
        <w:rPr>
          <w:lang w:val="en-US"/>
        </w:rPr>
      </w:pPr>
    </w:p>
    <w:p w14:paraId="1AF35F3C" w14:textId="41AE1DCF" w:rsidR="00660D2A" w:rsidRDefault="00CB31B4" w:rsidP="00660D2A">
      <w:pPr>
        <w:pStyle w:val="Heading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24447F95" w14:textId="77777777" w:rsidR="00AC35E4" w:rsidRDefault="00E315C8" w:rsidP="00AC35E4">
      <w:pPr>
        <w:spacing w:after="0"/>
        <w:jc w:val="both"/>
        <w:rPr>
          <w:lang w:val="en-IE"/>
        </w:rPr>
      </w:pPr>
      <w:r w:rsidRPr="00C2259E">
        <w:rPr>
          <w:lang w:val="en-IE"/>
        </w:rPr>
        <w:t xml:space="preserve">The Sub-Fund promotes environmental and/or social characteristics through among others, replicating an Index integrating an environmental, social and governance (“ESG”) rating. </w:t>
      </w:r>
      <w:r w:rsidRPr="00C2259E">
        <w:rPr>
          <w:lang w:val="en-IE"/>
        </w:rPr>
        <w:cr/>
      </w:r>
      <w:r w:rsidRPr="00C2259E">
        <w:rPr>
          <w:lang w:val="en-IE"/>
        </w:rPr>
        <w:cr/>
        <w:t xml:space="preserve"> The Index methodology is constructed using a “Best-in-class approach”: best ranked companies are selected to construct the Index. </w:t>
      </w:r>
      <w:r w:rsidRPr="00C2259E">
        <w:rPr>
          <w:lang w:val="en-IE"/>
        </w:rPr>
        <w:cr/>
      </w:r>
      <w:r w:rsidRPr="00C2259E">
        <w:rPr>
          <w:lang w:val="en-IE"/>
        </w:rPr>
        <w:cr/>
        <w:t>“Best-in-class” is an approach where leading or best-performing investments are selected within a universe, industry sector or class. Using such Best-in-class approach, the Index follows an extra-financial approach significantly engaging that permits the reduction by at least 20% of the initial investment universe (expressed in number of issuers).</w:t>
      </w:r>
      <w:r w:rsidRPr="00C2259E">
        <w:rPr>
          <w:lang w:val="en-IE"/>
        </w:rPr>
        <w:cr/>
      </w:r>
    </w:p>
    <w:p w14:paraId="4D38440D" w14:textId="0D58D733" w:rsidR="00AC35E4" w:rsidRPr="00AC35E4" w:rsidRDefault="00AC35E4" w:rsidP="00AC35E4">
      <w:pPr>
        <w:spacing w:after="0"/>
        <w:jc w:val="both"/>
        <w:rPr>
          <w:lang w:val="en-US"/>
        </w:rPr>
      </w:pPr>
      <w:r w:rsidRPr="00AC35E4">
        <w:rPr>
          <w:lang w:val="en-US"/>
        </w:rPr>
        <w:t>The Index applies exclusions to companies involved in activities considered non-aligned with the Paris Climate Agreement (coal extraction, oil, etc). Those exclusions are provided for in Art. 12 (1) (a)-(g) of the Commission Delegated Regulation (EU) 2020/1818 of 17 July 2020 supplementing Regulation (EU) 2016/1011 of the European Parliament and of the Council as regards minimum standards for EU Climate Transition Benchmarks and EU Paris-aligned Benchmarks.</w:t>
      </w:r>
    </w:p>
    <w:p w14:paraId="02979027" w14:textId="77777777" w:rsidR="00AC35E4" w:rsidRPr="005A28F2" w:rsidRDefault="00AC35E4" w:rsidP="00AC35E4">
      <w:pPr>
        <w:spacing w:after="0"/>
        <w:jc w:val="both"/>
        <w:rPr>
          <w:lang w:val="en-US"/>
        </w:rPr>
      </w:pPr>
      <w:r w:rsidRPr="00AC35E4">
        <w:rPr>
          <w:lang w:val="en-US"/>
        </w:rPr>
        <w:t>For further information please refer to the "Guidelines on funds’ names using ESG or sustainability-related terms" section of the Prospectus.</w:t>
      </w:r>
    </w:p>
    <w:p w14:paraId="1EF0B61C" w14:textId="0B81CB17" w:rsidR="00E315C8" w:rsidRPr="00AC35E4" w:rsidRDefault="00E315C8" w:rsidP="00E315C8">
      <w:pPr>
        <w:jc w:val="both"/>
        <w:rPr>
          <w:lang w:val="en-US"/>
        </w:rPr>
      </w:pPr>
    </w:p>
    <w:p w14:paraId="45E23E26" w14:textId="1377012A" w:rsidR="00660D2A" w:rsidRPr="00E315C8" w:rsidRDefault="00660D2A" w:rsidP="00660D2A">
      <w:pPr>
        <w:jc w:val="both"/>
        <w:rPr>
          <w:lang w:val="en-IE"/>
        </w:rPr>
      </w:pPr>
    </w:p>
    <w:p w14:paraId="57745510" w14:textId="77777777" w:rsidR="00660D2A" w:rsidRDefault="00660D2A" w:rsidP="00660D2A">
      <w:pPr>
        <w:jc w:val="both"/>
        <w:rPr>
          <w:lang w:val="en-US"/>
        </w:rPr>
      </w:pPr>
    </w:p>
    <w:p w14:paraId="7DBA6510" w14:textId="24F0387B" w:rsidR="00660D2A" w:rsidRDefault="00CB31B4" w:rsidP="00660D2A">
      <w:pPr>
        <w:pStyle w:val="Heading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7ED0F757" w14:textId="792AEC94" w:rsidR="00660D2A" w:rsidRDefault="00E315C8" w:rsidP="00660D2A">
      <w:pPr>
        <w:jc w:val="both"/>
        <w:rPr>
          <w:lang w:val="en-US"/>
        </w:rPr>
      </w:pPr>
      <w:r w:rsidRPr="00C2259E">
        <w:rPr>
          <w:lang w:val="en-US"/>
        </w:rPr>
        <w:t xml:space="preserve">At least 90% of the Sub-Fund’s securities and instruments will meet the promoted environmental or social characteristics in accordance with the binding elements of the Index methodology.  Furthermore, the Sub-Fund commits to have a minimum of </w:t>
      </w:r>
      <w:r>
        <w:rPr>
          <w:lang w:val="en-US"/>
        </w:rPr>
        <w:t>10</w:t>
      </w:r>
      <w:r w:rsidRPr="00C2259E">
        <w:rPr>
          <w:lang w:val="en-US"/>
        </w:rPr>
        <w:t>% of sustainable investments as per the below chart. Investments aligned with other E/S characteristics (#1B) will represent the difference between the actual proportion of investments aligned with environmental or social characteristics (#1) and the actual proportion of sustainable investments (#1A).</w:t>
      </w:r>
      <w:r w:rsidRPr="00C2259E">
        <w:rPr>
          <w:lang w:val="en-US"/>
        </w:rPr>
        <w:cr/>
        <w:t xml:space="preserve">The planned proportion of other environmental investment represents a minimum of </w:t>
      </w:r>
      <w:r>
        <w:rPr>
          <w:lang w:val="en-US"/>
        </w:rPr>
        <w:t>10</w:t>
      </w:r>
      <w:r w:rsidRPr="00C2259E">
        <w:rPr>
          <w:lang w:val="en-US"/>
        </w:rPr>
        <w:t xml:space="preserve">% (i)  and may </w:t>
      </w:r>
      <w:r w:rsidRPr="00C2259E">
        <w:rPr>
          <w:lang w:val="en-US"/>
        </w:rPr>
        <w:lastRenderedPageBreak/>
        <w:t>change as the actual proportions of Taxonomy-aligned and/or Social investments increase.</w:t>
      </w:r>
      <w:r w:rsidRPr="00C2259E">
        <w:rPr>
          <w:lang w:val="en-US"/>
        </w:rPr>
        <w:cr/>
      </w:r>
    </w:p>
    <w:p w14:paraId="6F2DEFEE" w14:textId="77777777" w:rsidR="00660D2A" w:rsidRDefault="00660D2A" w:rsidP="00660D2A">
      <w:pPr>
        <w:jc w:val="both"/>
        <w:rPr>
          <w:lang w:val="en-US"/>
        </w:rPr>
      </w:pPr>
    </w:p>
    <w:p w14:paraId="4B2FDE0F" w14:textId="505A798B" w:rsidR="00660D2A" w:rsidRDefault="00CB31B4" w:rsidP="00660D2A">
      <w:pPr>
        <w:pStyle w:val="Heading2"/>
        <w:jc w:val="both"/>
        <w:rPr>
          <w:b/>
          <w:color w:val="auto"/>
          <w:lang w:val="en-US"/>
        </w:rPr>
      </w:pPr>
      <w:r w:rsidRPr="00660D2A">
        <w:rPr>
          <w:b/>
          <w:color w:val="auto"/>
          <w:lang w:val="en-US"/>
        </w:rPr>
        <w:t>Monitoring, methodologies, data sources and their limitations, due diligence and engagement policies</w:t>
      </w:r>
    </w:p>
    <w:p w14:paraId="39F59B8B" w14:textId="77777777" w:rsidR="00660D2A" w:rsidRPr="00660D2A" w:rsidRDefault="00660D2A" w:rsidP="00660D2A">
      <w:pPr>
        <w:rPr>
          <w:lang w:val="en-US"/>
        </w:rPr>
      </w:pPr>
    </w:p>
    <w:p w14:paraId="54E9CC72" w14:textId="1E5CF95E" w:rsidR="005E1D0B" w:rsidRDefault="00CB31B4" w:rsidP="00660D2A">
      <w:pPr>
        <w:jc w:val="both"/>
        <w:rPr>
          <w:lang w:val="en-US"/>
        </w:rPr>
      </w:pPr>
      <w:r>
        <w:rPr>
          <w:lang w:val="en-US"/>
        </w:rPr>
        <w:t xml:space="preserve"> 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r>
        <w:rPr>
          <w:lang w:val="en-US"/>
        </w:rPr>
        <w:cr/>
      </w:r>
      <w:r>
        <w:rPr>
          <w:lang w:val="en-US"/>
        </w:rPr>
        <w:cr/>
        <w:t>Sustainability indicators used within Amundi rely on proprietary methodologies. These indicators are continuously made available in the portfolio management system allowing the portfolio managers to assess the impact of their investment decisions.</w:t>
      </w:r>
      <w:r>
        <w:rPr>
          <w:lang w:val="en-US"/>
        </w:rPr>
        <w:cr/>
      </w:r>
      <w:r>
        <w:rPr>
          <w:lang w:val="en-US"/>
        </w:rPr>
        <w:c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r>
        <w:rPr>
          <w:lang w:val="en-US"/>
        </w:rPr>
        <w:cr/>
      </w:r>
      <w:r>
        <w:rPr>
          <w:lang w:val="en-US"/>
        </w:rPr>
        <w:c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cr/>
      </w:r>
      <w:r>
        <w:rPr>
          <w:lang w:val="en-US"/>
        </w:rPr>
        <w:c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cr/>
      </w:r>
      <w:r>
        <w:rPr>
          <w:lang w:val="en-US"/>
        </w:rPr>
        <w:cr/>
        <w:t xml:space="preserve"> Amundi's ESG scores are built using Amundi's ESG analysis framework and scoring methodology. We source data from the following sources for ESG scores:  Moody, ISS-Oekem, MSCI, and Sustainalytics. </w:t>
      </w:r>
      <w:r>
        <w:rPr>
          <w:lang w:val="en-US"/>
        </w:rPr>
        <w:c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r>
        <w:rPr>
          <w:lang w:val="en-US"/>
        </w:rPr>
        <w:cr/>
      </w:r>
      <w:r>
        <w:rPr>
          <w:lang w:val="en-US"/>
        </w:rPr>
        <w:cr/>
        <w:t>We are aware of these limitations which we mitigate by a combination of approaches.</w:t>
      </w:r>
      <w:r>
        <w:rPr>
          <w:lang w:val="en-US"/>
        </w:rPr>
        <w:cr/>
      </w:r>
      <w:r>
        <w:rPr>
          <w:lang w:val="en-US"/>
        </w:rPr>
        <w:cr/>
        <w:t xml:space="preserve"> Each month, the ESG score are recalculated according Amundi quantitative methodology. The result of this calculation is then reviewed by the ESG analysts who perform a qualitative "sampling control" on its sector based on various checks. </w:t>
      </w:r>
      <w:r>
        <w:rPr>
          <w:lang w:val="en-US"/>
        </w:rPr>
        <w:cr/>
      </w:r>
      <w:r>
        <w:rPr>
          <w:lang w:val="en-US"/>
        </w:rPr>
        <w:cr/>
      </w:r>
      <w:r>
        <w:rPr>
          <w:lang w:val="en-US"/>
        </w:rPr>
        <w:lastRenderedPageBreak/>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180E" w14:textId="77777777" w:rsidR="00CB31B4" w:rsidRDefault="00CB31B4" w:rsidP="00CB31B4">
      <w:pPr>
        <w:spacing w:after="0" w:line="240" w:lineRule="auto"/>
      </w:pPr>
      <w:r>
        <w:separator/>
      </w:r>
    </w:p>
  </w:endnote>
  <w:endnote w:type="continuationSeparator" w:id="0">
    <w:p w14:paraId="29EEB167" w14:textId="77777777" w:rsidR="00CB31B4" w:rsidRDefault="00CB31B4" w:rsidP="00CB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31EB" w14:textId="77777777" w:rsidR="00CB31B4" w:rsidRDefault="00CB31B4" w:rsidP="00CB31B4">
      <w:pPr>
        <w:spacing w:after="0" w:line="240" w:lineRule="auto"/>
      </w:pPr>
      <w:r>
        <w:separator/>
      </w:r>
    </w:p>
  </w:footnote>
  <w:footnote w:type="continuationSeparator" w:id="0">
    <w:p w14:paraId="3B22AD88" w14:textId="77777777" w:rsidR="00CB31B4" w:rsidRDefault="00CB31B4" w:rsidP="00CB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53830DA">
      <w:start w:val="1"/>
      <w:numFmt w:val="lowerLetter"/>
      <w:lvlText w:val="(%1)"/>
      <w:lvlJc w:val="left"/>
      <w:pPr>
        <w:ind w:left="720" w:hanging="360"/>
      </w:pPr>
      <w:rPr>
        <w:rFonts w:hint="default"/>
      </w:rPr>
    </w:lvl>
    <w:lvl w:ilvl="1" w:tplc="7E30605A" w:tentative="1">
      <w:start w:val="1"/>
      <w:numFmt w:val="lowerLetter"/>
      <w:lvlText w:val="%2."/>
      <w:lvlJc w:val="left"/>
      <w:pPr>
        <w:ind w:left="1440" w:hanging="360"/>
      </w:pPr>
    </w:lvl>
    <w:lvl w:ilvl="2" w:tplc="EB1077DC" w:tentative="1">
      <w:start w:val="1"/>
      <w:numFmt w:val="lowerRoman"/>
      <w:lvlText w:val="%3."/>
      <w:lvlJc w:val="right"/>
      <w:pPr>
        <w:ind w:left="2160" w:hanging="180"/>
      </w:pPr>
    </w:lvl>
    <w:lvl w:ilvl="3" w:tplc="8FEAAEBE" w:tentative="1">
      <w:start w:val="1"/>
      <w:numFmt w:val="decimal"/>
      <w:lvlText w:val="%4."/>
      <w:lvlJc w:val="left"/>
      <w:pPr>
        <w:ind w:left="2880" w:hanging="360"/>
      </w:pPr>
    </w:lvl>
    <w:lvl w:ilvl="4" w:tplc="57000DDE" w:tentative="1">
      <w:start w:val="1"/>
      <w:numFmt w:val="lowerLetter"/>
      <w:lvlText w:val="%5."/>
      <w:lvlJc w:val="left"/>
      <w:pPr>
        <w:ind w:left="3600" w:hanging="360"/>
      </w:pPr>
    </w:lvl>
    <w:lvl w:ilvl="5" w:tplc="51860688" w:tentative="1">
      <w:start w:val="1"/>
      <w:numFmt w:val="lowerRoman"/>
      <w:lvlText w:val="%6."/>
      <w:lvlJc w:val="right"/>
      <w:pPr>
        <w:ind w:left="4320" w:hanging="180"/>
      </w:pPr>
    </w:lvl>
    <w:lvl w:ilvl="6" w:tplc="CB1EC6C2" w:tentative="1">
      <w:start w:val="1"/>
      <w:numFmt w:val="decimal"/>
      <w:lvlText w:val="%7."/>
      <w:lvlJc w:val="left"/>
      <w:pPr>
        <w:ind w:left="5040" w:hanging="360"/>
      </w:pPr>
    </w:lvl>
    <w:lvl w:ilvl="7" w:tplc="956E4442" w:tentative="1">
      <w:start w:val="1"/>
      <w:numFmt w:val="lowerLetter"/>
      <w:lvlText w:val="%8."/>
      <w:lvlJc w:val="left"/>
      <w:pPr>
        <w:ind w:left="5760" w:hanging="360"/>
      </w:pPr>
    </w:lvl>
    <w:lvl w:ilvl="8" w:tplc="11C4E086"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E3108234">
      <w:start w:val="1"/>
      <w:numFmt w:val="lowerRoman"/>
      <w:lvlText w:val="(%1)"/>
      <w:lvlJc w:val="left"/>
      <w:pPr>
        <w:ind w:left="1080" w:hanging="720"/>
      </w:pPr>
      <w:rPr>
        <w:rFonts w:hint="default"/>
      </w:rPr>
    </w:lvl>
    <w:lvl w:ilvl="1" w:tplc="9370A4B6" w:tentative="1">
      <w:start w:val="1"/>
      <w:numFmt w:val="lowerLetter"/>
      <w:lvlText w:val="%2."/>
      <w:lvlJc w:val="left"/>
      <w:pPr>
        <w:ind w:left="1440" w:hanging="360"/>
      </w:pPr>
    </w:lvl>
    <w:lvl w:ilvl="2" w:tplc="4642A360" w:tentative="1">
      <w:start w:val="1"/>
      <w:numFmt w:val="lowerRoman"/>
      <w:lvlText w:val="%3."/>
      <w:lvlJc w:val="right"/>
      <w:pPr>
        <w:ind w:left="2160" w:hanging="180"/>
      </w:pPr>
    </w:lvl>
    <w:lvl w:ilvl="3" w:tplc="460CCCD4" w:tentative="1">
      <w:start w:val="1"/>
      <w:numFmt w:val="decimal"/>
      <w:lvlText w:val="%4."/>
      <w:lvlJc w:val="left"/>
      <w:pPr>
        <w:ind w:left="2880" w:hanging="360"/>
      </w:pPr>
    </w:lvl>
    <w:lvl w:ilvl="4" w:tplc="8F622C4E" w:tentative="1">
      <w:start w:val="1"/>
      <w:numFmt w:val="lowerLetter"/>
      <w:lvlText w:val="%5."/>
      <w:lvlJc w:val="left"/>
      <w:pPr>
        <w:ind w:left="3600" w:hanging="360"/>
      </w:pPr>
    </w:lvl>
    <w:lvl w:ilvl="5" w:tplc="09960756" w:tentative="1">
      <w:start w:val="1"/>
      <w:numFmt w:val="lowerRoman"/>
      <w:lvlText w:val="%6."/>
      <w:lvlJc w:val="right"/>
      <w:pPr>
        <w:ind w:left="4320" w:hanging="180"/>
      </w:pPr>
    </w:lvl>
    <w:lvl w:ilvl="6" w:tplc="DDF6DF5C" w:tentative="1">
      <w:start w:val="1"/>
      <w:numFmt w:val="decimal"/>
      <w:lvlText w:val="%7."/>
      <w:lvlJc w:val="left"/>
      <w:pPr>
        <w:ind w:left="5040" w:hanging="360"/>
      </w:pPr>
    </w:lvl>
    <w:lvl w:ilvl="7" w:tplc="8528E380" w:tentative="1">
      <w:start w:val="1"/>
      <w:numFmt w:val="lowerLetter"/>
      <w:lvlText w:val="%8."/>
      <w:lvlJc w:val="left"/>
      <w:pPr>
        <w:ind w:left="5760" w:hanging="360"/>
      </w:pPr>
    </w:lvl>
    <w:lvl w:ilvl="8" w:tplc="3296F350" w:tentative="1">
      <w:start w:val="1"/>
      <w:numFmt w:val="lowerRoman"/>
      <w:lvlText w:val="%9."/>
      <w:lvlJc w:val="right"/>
      <w:pPr>
        <w:ind w:left="6480" w:hanging="180"/>
      </w:pPr>
    </w:lvl>
  </w:abstractNum>
  <w:num w:numId="1" w16cid:durableId="973025633">
    <w:abstractNumId w:val="0"/>
  </w:num>
  <w:num w:numId="2" w16cid:durableId="89099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51207"/>
    <w:rsid w:val="000975C6"/>
    <w:rsid w:val="000D77E7"/>
    <w:rsid w:val="001510FB"/>
    <w:rsid w:val="001B13EB"/>
    <w:rsid w:val="00234EF0"/>
    <w:rsid w:val="002473A3"/>
    <w:rsid w:val="00252E7E"/>
    <w:rsid w:val="0033164A"/>
    <w:rsid w:val="003C68FA"/>
    <w:rsid w:val="003F0A0C"/>
    <w:rsid w:val="003F12E6"/>
    <w:rsid w:val="004A350F"/>
    <w:rsid w:val="005324D2"/>
    <w:rsid w:val="005C395A"/>
    <w:rsid w:val="005E1D0B"/>
    <w:rsid w:val="00614CEC"/>
    <w:rsid w:val="00624189"/>
    <w:rsid w:val="00660D2A"/>
    <w:rsid w:val="006C2A16"/>
    <w:rsid w:val="00774DA0"/>
    <w:rsid w:val="007C5B2B"/>
    <w:rsid w:val="008B40A5"/>
    <w:rsid w:val="009D31E9"/>
    <w:rsid w:val="00A70259"/>
    <w:rsid w:val="00AA7FDA"/>
    <w:rsid w:val="00AC35E4"/>
    <w:rsid w:val="00B363AE"/>
    <w:rsid w:val="00C15A78"/>
    <w:rsid w:val="00C348D9"/>
    <w:rsid w:val="00CB31B4"/>
    <w:rsid w:val="00CB6D7C"/>
    <w:rsid w:val="00D03AAD"/>
    <w:rsid w:val="00DA1CE3"/>
    <w:rsid w:val="00E315C8"/>
    <w:rsid w:val="00F6179F"/>
    <w:rsid w:val="00FC39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1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31B4"/>
  </w:style>
  <w:style w:type="paragraph" w:styleId="Footer">
    <w:name w:val="footer"/>
    <w:basedOn w:val="Normal"/>
    <w:link w:val="FooterChar"/>
    <w:uiPriority w:val="99"/>
    <w:unhideWhenUsed/>
    <w:rsid w:val="00CB31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Akinci Vildane (AMUNDI)</cp:lastModifiedBy>
  <cp:revision>14</cp:revision>
  <dcterms:created xsi:type="dcterms:W3CDTF">2022-11-23T07:29:00Z</dcterms:created>
  <dcterms:modified xsi:type="dcterms:W3CDTF">2025-03-26T21:47:00Z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