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BE4A247" w:rsidR="005E1D0B" w:rsidRPr="00E25435" w:rsidRDefault="00E25435" w:rsidP="003D7A6E">
            <w:pPr>
              <w:ind w:left="-101" w:right="-851"/>
              <w:jc w:val="both"/>
              <w:rPr>
                <w:lang w:val="en-US"/>
              </w:rPr>
            </w:pPr>
            <w:r w:rsidRPr="00E25435">
              <w:rPr>
                <w:lang w:val="en-US"/>
              </w:rPr>
              <w:t>AMUNDI EURO HIGH YIELD BOND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6076E93C" w:rsidR="005E1D0B" w:rsidRPr="007528F2" w:rsidRDefault="00B253E6" w:rsidP="003F0A0C">
            <w:pPr>
              <w:ind w:right="-851"/>
              <w:rPr>
                <w:lang w:val="it-IT"/>
              </w:rPr>
            </w:pPr>
            <w:r w:rsidRPr="00B253E6">
              <w:rPr>
                <w:lang w:val="it-IT"/>
              </w:rPr>
              <w:t>549300WFFU01S3XDX018</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5305244" w14:textId="5764A38E" w:rsidR="009D6130" w:rsidRPr="009D6130" w:rsidRDefault="009D6130" w:rsidP="009D6130">
      <w:pPr>
        <w:jc w:val="both"/>
        <w:rPr>
          <w:lang w:val="en-IE"/>
        </w:rPr>
      </w:pPr>
      <w:r w:rsidRPr="009D6130">
        <w:rPr>
          <w:lang w:val="en-IE"/>
        </w:rPr>
        <w:t>The Sub-Fund promotes environmental and/or social characteristics through among others, replicating an</w:t>
      </w:r>
      <w:r>
        <w:rPr>
          <w:lang w:val="en-IE"/>
        </w:rPr>
        <w:t xml:space="preserve"> </w:t>
      </w:r>
      <w:r w:rsidRPr="009D6130">
        <w:rPr>
          <w:lang w:val="en-IE"/>
        </w:rPr>
        <w:t>Index integrating an environmental, social and governance ("ESG") rating.</w:t>
      </w:r>
    </w:p>
    <w:p w14:paraId="2EEC0256" w14:textId="11CF1C3A" w:rsidR="009D6130" w:rsidRPr="009D6130" w:rsidRDefault="009D6130" w:rsidP="009D6130">
      <w:pPr>
        <w:jc w:val="both"/>
        <w:rPr>
          <w:lang w:val="en-IE"/>
        </w:rPr>
      </w:pPr>
      <w:r w:rsidRPr="009D6130">
        <w:rPr>
          <w:lang w:val="en-IE"/>
        </w:rPr>
        <w:t>The Index methodology is constructed using a "Best-in-class approach": best ranked companies are</w:t>
      </w:r>
      <w:r>
        <w:rPr>
          <w:lang w:val="en-IE"/>
        </w:rPr>
        <w:t xml:space="preserve"> </w:t>
      </w:r>
      <w:r w:rsidRPr="009D6130">
        <w:rPr>
          <w:lang w:val="en-IE"/>
        </w:rPr>
        <w:t>selected to construct the Index.</w:t>
      </w:r>
    </w:p>
    <w:p w14:paraId="114FC781" w14:textId="47F81F82" w:rsidR="00B61F9C" w:rsidRDefault="009D6130" w:rsidP="009D6130">
      <w:pPr>
        <w:jc w:val="both"/>
        <w:rPr>
          <w:lang w:val="en-IE"/>
        </w:rPr>
      </w:pPr>
      <w:r w:rsidRPr="009D6130">
        <w:rPr>
          <w:lang w:val="en-IE"/>
        </w:rPr>
        <w:t>"Best-in-class" is an approach where leading or best-performing investments are selected within a</w:t>
      </w:r>
      <w:r>
        <w:rPr>
          <w:lang w:val="en-IE"/>
        </w:rPr>
        <w:t xml:space="preserve"> </w:t>
      </w:r>
      <w:r w:rsidRPr="009D6130">
        <w:rPr>
          <w:lang w:val="en-IE"/>
        </w:rPr>
        <w:t>universe, industry sector or class. Using such Best-in-class approach, the Index follows an extra-financial</w:t>
      </w:r>
      <w:r>
        <w:rPr>
          <w:lang w:val="en-IE"/>
        </w:rPr>
        <w:t xml:space="preserve"> </w:t>
      </w:r>
      <w:r w:rsidRPr="009D6130">
        <w:rPr>
          <w:lang w:val="en-IE"/>
        </w:rPr>
        <w:t>approach significantly engaging that permits the reduction by at least 20% of the initial investment</w:t>
      </w:r>
      <w:r>
        <w:rPr>
          <w:lang w:val="en-IE"/>
        </w:rPr>
        <w:t xml:space="preserve"> </w:t>
      </w:r>
      <w:r w:rsidRPr="009D6130">
        <w:rPr>
          <w:lang w:val="en-IE"/>
        </w:rPr>
        <w:t>universe (expressed in number of issuers).</w:t>
      </w:r>
    </w:p>
    <w:p w14:paraId="7104A520" w14:textId="77777777" w:rsidR="009D6130" w:rsidRPr="00A3536B" w:rsidRDefault="009D6130" w:rsidP="009D6130">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5533C884" w14:textId="30EDE1EE" w:rsidR="00B66099" w:rsidRPr="00B66099" w:rsidRDefault="00B66099" w:rsidP="00B66099">
      <w:pPr>
        <w:jc w:val="both"/>
        <w:rPr>
          <w:lang w:val="en-US"/>
        </w:rPr>
      </w:pPr>
      <w:r w:rsidRPr="00B66099">
        <w:rPr>
          <w:lang w:val="en-US"/>
        </w:rPr>
        <w:t xml:space="preserve">To track the performance of </w:t>
      </w:r>
      <w:proofErr w:type="spellStart"/>
      <w:r w:rsidRPr="00B66099">
        <w:rPr>
          <w:lang w:val="en-US"/>
        </w:rPr>
        <w:t>iBoxx</w:t>
      </w:r>
      <w:proofErr w:type="spellEnd"/>
      <w:r w:rsidRPr="00B66099">
        <w:rPr>
          <w:lang w:val="en-US"/>
        </w:rPr>
        <w:t xml:space="preserve"> MSCI ESG EUR High Yield Corporates TCA Index (the "Index"), and to</w:t>
      </w:r>
      <w:r>
        <w:rPr>
          <w:lang w:val="en-US"/>
        </w:rPr>
        <w:t xml:space="preserve"> </w:t>
      </w:r>
      <w:r w:rsidRPr="00B66099">
        <w:rPr>
          <w:lang w:val="en-US"/>
        </w:rPr>
        <w:t>minimize the tracking error between the net asset value of the sub-fund and the performance of the</w:t>
      </w:r>
      <w:r>
        <w:rPr>
          <w:lang w:val="en-US"/>
        </w:rPr>
        <w:t xml:space="preserve"> </w:t>
      </w:r>
      <w:r w:rsidRPr="00B66099">
        <w:rPr>
          <w:lang w:val="en-US"/>
        </w:rPr>
        <w:t>Index.</w:t>
      </w:r>
    </w:p>
    <w:p w14:paraId="3F4EFA67" w14:textId="7A47AFAF" w:rsidR="00B66099" w:rsidRDefault="00B66099" w:rsidP="00B66099">
      <w:pPr>
        <w:jc w:val="both"/>
        <w:rPr>
          <w:lang w:val="en-US"/>
        </w:rPr>
      </w:pPr>
      <w:proofErr w:type="spellStart"/>
      <w:r w:rsidRPr="00B66099">
        <w:rPr>
          <w:lang w:val="en-US"/>
        </w:rPr>
        <w:t>iBoxx</w:t>
      </w:r>
      <w:proofErr w:type="spellEnd"/>
      <w:r w:rsidRPr="00B66099">
        <w:rPr>
          <w:lang w:val="en-US"/>
        </w:rPr>
        <w:t xml:space="preserve"> MSCI ESG EUR High Yield Corporates TCA Index is a bond index representative of euro-denominated</w:t>
      </w:r>
      <w:r>
        <w:rPr>
          <w:lang w:val="en-US"/>
        </w:rPr>
        <w:t xml:space="preserve"> </w:t>
      </w:r>
      <w:r w:rsidRPr="00B66099">
        <w:rPr>
          <w:lang w:val="en-US"/>
        </w:rPr>
        <w:t xml:space="preserve">BB/B rated bonds issued by corporate issuers that follows the rules of the </w:t>
      </w:r>
      <w:proofErr w:type="spellStart"/>
      <w:r w:rsidRPr="00B66099">
        <w:rPr>
          <w:lang w:val="en-US"/>
        </w:rPr>
        <w:t>iBoxx</w:t>
      </w:r>
      <w:proofErr w:type="spellEnd"/>
      <w:r w:rsidRPr="00B66099">
        <w:rPr>
          <w:lang w:val="en-US"/>
        </w:rPr>
        <w:t xml:space="preserve"> EUR High Yield TCA Index</w:t>
      </w:r>
      <w:r>
        <w:rPr>
          <w:lang w:val="en-US"/>
        </w:rPr>
        <w:t xml:space="preserve"> </w:t>
      </w:r>
      <w:r w:rsidRPr="00B66099">
        <w:rPr>
          <w:lang w:val="en-US"/>
        </w:rPr>
        <w:t>(the "Parent Index") and applies ESG criteria for security eligibility.</w:t>
      </w:r>
    </w:p>
    <w:p w14:paraId="1ABD6335" w14:textId="278B324C" w:rsidR="00B66099" w:rsidRPr="00B66099" w:rsidRDefault="00B66099" w:rsidP="00B66099">
      <w:pPr>
        <w:jc w:val="both"/>
        <w:rPr>
          <w:lang w:val="en-US"/>
        </w:rPr>
      </w:pPr>
      <w:r w:rsidRPr="00B66099">
        <w:rPr>
          <w:lang w:val="en-US"/>
        </w:rPr>
        <w:t>The MSCI ESG Rating is used to measure the attainment of each of the environmental and or social</w:t>
      </w:r>
      <w:r>
        <w:rPr>
          <w:lang w:val="en-US"/>
        </w:rPr>
        <w:t xml:space="preserve"> </w:t>
      </w:r>
      <w:r w:rsidRPr="00B66099">
        <w:rPr>
          <w:lang w:val="en-US"/>
        </w:rPr>
        <w:t>characteristic promoted by this financial product.</w:t>
      </w:r>
    </w:p>
    <w:p w14:paraId="22F40262" w14:textId="72593670" w:rsidR="00B66099" w:rsidRPr="00B66099" w:rsidRDefault="00B66099" w:rsidP="00B66099">
      <w:pPr>
        <w:jc w:val="both"/>
        <w:rPr>
          <w:lang w:val="en-US"/>
        </w:rPr>
      </w:pPr>
      <w:r w:rsidRPr="00B66099">
        <w:rPr>
          <w:lang w:val="en-US"/>
        </w:rPr>
        <w:t>MSCI ESG Rating methodology uses a rules-based methodology designed to measure a company's</w:t>
      </w:r>
      <w:r>
        <w:rPr>
          <w:lang w:val="en-US"/>
        </w:rPr>
        <w:t xml:space="preserve"> </w:t>
      </w:r>
      <w:r w:rsidRPr="00B66099">
        <w:rPr>
          <w:lang w:val="en-US"/>
        </w:rPr>
        <w:t>resilience to long-term, industry material ESG risks. It is based on extra-financial ESG key issues that</w:t>
      </w:r>
      <w:r>
        <w:rPr>
          <w:lang w:val="en-US"/>
        </w:rPr>
        <w:t xml:space="preserve"> </w:t>
      </w:r>
      <w:r w:rsidRPr="00B66099">
        <w:rPr>
          <w:lang w:val="en-US"/>
        </w:rPr>
        <w:t>focus on the intersection between a company's core business and the industry-specific issues that</w:t>
      </w:r>
      <w:r>
        <w:rPr>
          <w:lang w:val="en-US"/>
        </w:rPr>
        <w:t xml:space="preserve"> </w:t>
      </w:r>
      <w:r w:rsidRPr="00B66099">
        <w:rPr>
          <w:lang w:val="en-US"/>
        </w:rPr>
        <w:t>may create significant risks and opportunities for the company. The ESG key issues are weighted</w:t>
      </w:r>
      <w:r>
        <w:rPr>
          <w:lang w:val="en-US"/>
        </w:rPr>
        <w:t xml:space="preserve"> </w:t>
      </w:r>
      <w:r w:rsidRPr="00B66099">
        <w:rPr>
          <w:lang w:val="en-US"/>
        </w:rPr>
        <w:t xml:space="preserve">according </w:t>
      </w:r>
      <w:r w:rsidRPr="00B66099">
        <w:rPr>
          <w:lang w:val="en-US"/>
        </w:rPr>
        <w:lastRenderedPageBreak/>
        <w:t>to impact and time horizon of the risk or opportunity. The ESG key issues include for</w:t>
      </w:r>
      <w:r>
        <w:rPr>
          <w:lang w:val="en-US"/>
        </w:rPr>
        <w:t xml:space="preserve"> </w:t>
      </w:r>
      <w:r w:rsidRPr="00B66099">
        <w:rPr>
          <w:lang w:val="en-US"/>
        </w:rPr>
        <w:t>instance, but are not limited to, water stress, carbon emissions, labor management or business ethics.</w:t>
      </w:r>
    </w:p>
    <w:p w14:paraId="060C2B64" w14:textId="77777777" w:rsidR="00B66099" w:rsidRPr="00B66099" w:rsidRDefault="00B66099" w:rsidP="00B66099">
      <w:pPr>
        <w:jc w:val="both"/>
        <w:rPr>
          <w:lang w:val="en-US"/>
        </w:rPr>
      </w:pPr>
      <w:r w:rsidRPr="00B66099">
        <w:rPr>
          <w:lang w:val="en-US"/>
        </w:rPr>
        <w:t>More detailed on MSCI ESG Rating can be found on the following link:</w:t>
      </w:r>
    </w:p>
    <w:p w14:paraId="634426B1" w14:textId="638A6936" w:rsidR="00B66099" w:rsidRPr="00B66099" w:rsidRDefault="00B66099" w:rsidP="00B66099">
      <w:pPr>
        <w:jc w:val="both"/>
        <w:rPr>
          <w:lang w:val="en-US"/>
        </w:rPr>
      </w:pPr>
      <w:r w:rsidRPr="00B66099">
        <w:rPr>
          <w:lang w:val="en-US"/>
        </w:rPr>
        <w:t>https://www.msci.com/documents/1296102/21901542/ESG-Ratings-Methodology-Exec-Summary.pdf</w:t>
      </w:r>
    </w:p>
    <w:p w14:paraId="488D43B8" w14:textId="77777777" w:rsidR="00B66099" w:rsidRPr="00B66099" w:rsidRDefault="00B66099" w:rsidP="00B66099">
      <w:pPr>
        <w:jc w:val="both"/>
        <w:rPr>
          <w:lang w:val="en-US"/>
        </w:rPr>
      </w:pPr>
      <w:r w:rsidRPr="00B66099">
        <w:rPr>
          <w:lang w:val="en-US"/>
        </w:rPr>
        <w:t>More details on MSCI ESG Controversy score can be found on the following link:</w:t>
      </w:r>
    </w:p>
    <w:p w14:paraId="37D17BA7" w14:textId="58F06035" w:rsidR="00B66099" w:rsidRPr="00B66099" w:rsidRDefault="00B66099" w:rsidP="00B66099">
      <w:pPr>
        <w:jc w:val="both"/>
        <w:rPr>
          <w:lang w:val="en-US"/>
        </w:rPr>
      </w:pPr>
      <w:r w:rsidRPr="00B66099">
        <w:rPr>
          <w:lang w:val="en-US"/>
        </w:rPr>
        <w:t>https://www.msci.com/documents/1296102/14524248/MSCI+ESG+Research+Controversies+Executive+Summary+Methodology+-++July+2020.pdf/b0a2bb88-2360-1728-b70e-2f0a889b6bd4</w:t>
      </w:r>
    </w:p>
    <w:p w14:paraId="549CA03B" w14:textId="3459CC84" w:rsidR="00B66099" w:rsidRPr="00B66099" w:rsidRDefault="00B66099" w:rsidP="00B66099">
      <w:pPr>
        <w:jc w:val="both"/>
        <w:rPr>
          <w:lang w:val="en-US"/>
        </w:rPr>
      </w:pPr>
      <w:r w:rsidRPr="00B66099">
        <w:rPr>
          <w:lang w:val="en-US"/>
        </w:rPr>
        <w:t xml:space="preserve">More precisely, </w:t>
      </w:r>
      <w:proofErr w:type="spellStart"/>
      <w:r w:rsidRPr="00B66099">
        <w:rPr>
          <w:lang w:val="en-US"/>
        </w:rPr>
        <w:t>iBoxx</w:t>
      </w:r>
      <w:proofErr w:type="spellEnd"/>
      <w:r w:rsidRPr="00B66099">
        <w:rPr>
          <w:lang w:val="en-US"/>
        </w:rPr>
        <w:t xml:space="preserve"> MSCI ESG EUR High Yield Corporates TCA Index (the "Index") screens out the</w:t>
      </w:r>
      <w:r>
        <w:rPr>
          <w:lang w:val="en-US"/>
        </w:rPr>
        <w:t xml:space="preserve"> </w:t>
      </w:r>
      <w:r w:rsidRPr="00B66099">
        <w:rPr>
          <w:lang w:val="en-US"/>
        </w:rPr>
        <w:t>constituents of the Parent Index based on the following criteria:</w:t>
      </w:r>
    </w:p>
    <w:p w14:paraId="4C360AA0" w14:textId="24636F2A" w:rsidR="00B66099" w:rsidRDefault="00B66099" w:rsidP="00B66099">
      <w:pPr>
        <w:jc w:val="both"/>
        <w:rPr>
          <w:lang w:val="en-US"/>
        </w:rPr>
      </w:pPr>
      <w:r w:rsidRPr="00B66099">
        <w:rPr>
          <w:lang w:val="en-US"/>
        </w:rPr>
        <w:t>1. First, securities of companies involved in business lines/activities*: such as Alcohol, Tobacco,</w:t>
      </w:r>
      <w:r>
        <w:rPr>
          <w:lang w:val="en-US"/>
        </w:rPr>
        <w:t xml:space="preserve"> </w:t>
      </w:r>
      <w:r w:rsidRPr="00B66099">
        <w:rPr>
          <w:lang w:val="en-US"/>
        </w:rPr>
        <w:t>Gambling, Adult Entertainment, Genetically Modified organisms (GMO), Nuclear Power, Conventional</w:t>
      </w:r>
      <w:r>
        <w:rPr>
          <w:lang w:val="en-US"/>
        </w:rPr>
        <w:t xml:space="preserve"> </w:t>
      </w:r>
      <w:r w:rsidRPr="00B66099">
        <w:rPr>
          <w:lang w:val="en-US"/>
        </w:rPr>
        <w:t>and Controversial Weapons, Civilian Firearms, Thermal Coal or Fossil Fuels, as per the standard</w:t>
      </w:r>
      <w:r>
        <w:rPr>
          <w:lang w:val="en-US"/>
        </w:rPr>
        <w:t xml:space="preserve"> </w:t>
      </w:r>
      <w:r w:rsidRPr="00B66099">
        <w:rPr>
          <w:lang w:val="en-US"/>
        </w:rPr>
        <w:t>Bloomberg MSCI SRI screen, are excluded.</w:t>
      </w:r>
    </w:p>
    <w:p w14:paraId="7C4E93A5" w14:textId="77777777" w:rsidR="00B66099" w:rsidRPr="00B66099" w:rsidRDefault="00B66099" w:rsidP="00B66099">
      <w:pPr>
        <w:jc w:val="both"/>
        <w:rPr>
          <w:lang w:val="en-US"/>
        </w:rPr>
      </w:pPr>
      <w:r w:rsidRPr="00B66099">
        <w:rPr>
          <w:lang w:val="en-US"/>
        </w:rPr>
        <w:t>2. Securities of companies with an MSCI ESG rating of BB and below are excluded.</w:t>
      </w:r>
    </w:p>
    <w:p w14:paraId="6D8311C8" w14:textId="77777777" w:rsidR="00B66099" w:rsidRPr="00B66099" w:rsidRDefault="00B66099" w:rsidP="00B66099">
      <w:pPr>
        <w:jc w:val="both"/>
        <w:rPr>
          <w:lang w:val="en-US"/>
        </w:rPr>
      </w:pPr>
      <w:r w:rsidRPr="00B66099">
        <w:rPr>
          <w:lang w:val="en-US"/>
        </w:rPr>
        <w:t>3. Companies with an MSCI ESG Controversies Score of less than 1 are excluded.</w:t>
      </w:r>
    </w:p>
    <w:p w14:paraId="31944369" w14:textId="1CB0CA9B" w:rsidR="00B66099" w:rsidRPr="00B66099" w:rsidRDefault="00B66099" w:rsidP="00B66099">
      <w:pPr>
        <w:jc w:val="both"/>
        <w:rPr>
          <w:lang w:val="en-US"/>
        </w:rPr>
      </w:pPr>
      <w:r w:rsidRPr="00B66099">
        <w:rPr>
          <w:lang w:val="en-US"/>
        </w:rPr>
        <w:t>In the event that the above MSCI ESG screenings result in less than 20% of issuers being excluded</w:t>
      </w:r>
      <w:r>
        <w:rPr>
          <w:lang w:val="en-US"/>
        </w:rPr>
        <w:t xml:space="preserve"> </w:t>
      </w:r>
      <w:r w:rsidRPr="00B66099">
        <w:rPr>
          <w:lang w:val="en-US"/>
        </w:rPr>
        <w:t>from the Parent Index at every rebalance date, additional ranking rules are applied to the issuers in</w:t>
      </w:r>
      <w:r>
        <w:rPr>
          <w:lang w:val="en-US"/>
        </w:rPr>
        <w:t xml:space="preserve"> </w:t>
      </w:r>
      <w:r w:rsidRPr="00B66099">
        <w:rPr>
          <w:lang w:val="en-US"/>
        </w:rPr>
        <w:t>the ESG-screened universe, as follows:</w:t>
      </w:r>
    </w:p>
    <w:p w14:paraId="1FEAD48F" w14:textId="77777777" w:rsidR="00B66099" w:rsidRPr="00B66099" w:rsidRDefault="00B66099" w:rsidP="00B66099">
      <w:pPr>
        <w:jc w:val="both"/>
        <w:rPr>
          <w:lang w:val="en-US"/>
        </w:rPr>
      </w:pPr>
      <w:r w:rsidRPr="00B66099">
        <w:rPr>
          <w:lang w:val="en-US"/>
        </w:rPr>
        <w:t>1. MSCI ESG rating score (descending)</w:t>
      </w:r>
    </w:p>
    <w:p w14:paraId="0EE93B62" w14:textId="77777777" w:rsidR="00B66099" w:rsidRPr="00B66099" w:rsidRDefault="00B66099" w:rsidP="00B66099">
      <w:pPr>
        <w:jc w:val="both"/>
        <w:rPr>
          <w:lang w:val="en-US"/>
        </w:rPr>
      </w:pPr>
      <w:r w:rsidRPr="00B66099">
        <w:rPr>
          <w:lang w:val="en-US"/>
        </w:rPr>
        <w:t>2. MSCI ESG Controversies score (descending)</w:t>
      </w:r>
    </w:p>
    <w:p w14:paraId="2497D261" w14:textId="77777777" w:rsidR="00B66099" w:rsidRPr="00B66099" w:rsidRDefault="00B66099" w:rsidP="00B66099">
      <w:pPr>
        <w:jc w:val="both"/>
        <w:rPr>
          <w:lang w:val="en-US"/>
        </w:rPr>
      </w:pPr>
      <w:r w:rsidRPr="00B66099">
        <w:rPr>
          <w:lang w:val="en-US"/>
        </w:rPr>
        <w:t>3. Issuer market value in the ESG - screened universe (descending)</w:t>
      </w:r>
    </w:p>
    <w:p w14:paraId="0126EA25" w14:textId="12C8F07B" w:rsidR="00B66099" w:rsidRPr="00B66099" w:rsidRDefault="00B66099" w:rsidP="00B66099">
      <w:pPr>
        <w:jc w:val="both"/>
        <w:rPr>
          <w:lang w:val="en-US"/>
        </w:rPr>
      </w:pPr>
      <w:r w:rsidRPr="00B66099">
        <w:rPr>
          <w:lang w:val="en-US"/>
        </w:rPr>
        <w:t>Based on the above ranking issuers will be excluded one by one (starting with the lowest ranked</w:t>
      </w:r>
      <w:r>
        <w:rPr>
          <w:lang w:val="en-US"/>
        </w:rPr>
        <w:t xml:space="preserve"> </w:t>
      </w:r>
      <w:r w:rsidRPr="00B66099">
        <w:rPr>
          <w:lang w:val="en-US"/>
        </w:rPr>
        <w:t>issuer) until the 20% minimum exclusion rule is satisfied.</w:t>
      </w:r>
    </w:p>
    <w:p w14:paraId="29A7A281" w14:textId="696FED09" w:rsidR="00B66099" w:rsidRPr="00B66099" w:rsidRDefault="00B66099" w:rsidP="00B66099">
      <w:pPr>
        <w:jc w:val="both"/>
        <w:rPr>
          <w:lang w:val="en-US"/>
        </w:rPr>
      </w:pPr>
      <w:r w:rsidRPr="00B66099">
        <w:rPr>
          <w:lang w:val="en-US"/>
        </w:rPr>
        <w:t>The remaining securities are weighted according to their total market capitalization with a soft issuer</w:t>
      </w:r>
      <w:r>
        <w:rPr>
          <w:lang w:val="en-US"/>
        </w:rPr>
        <w:t xml:space="preserve"> </w:t>
      </w:r>
      <w:r w:rsidRPr="00B66099">
        <w:rPr>
          <w:lang w:val="en-US"/>
        </w:rPr>
        <w:t>cap of 3%. In the event that there are not enough distinct issuers to satisfy the soft cap, a hard cap of</w:t>
      </w:r>
      <w:r>
        <w:rPr>
          <w:lang w:val="en-US"/>
        </w:rPr>
        <w:t xml:space="preserve"> </w:t>
      </w:r>
      <w:r w:rsidRPr="00B66099">
        <w:rPr>
          <w:lang w:val="en-US"/>
        </w:rPr>
        <w:t>5% will be used.</w:t>
      </w:r>
    </w:p>
    <w:p w14:paraId="0D2D6962" w14:textId="4BA23D71" w:rsidR="00B66099" w:rsidRPr="00B66099" w:rsidRDefault="00B66099" w:rsidP="00B66099">
      <w:pPr>
        <w:jc w:val="both"/>
        <w:rPr>
          <w:lang w:val="en-US"/>
        </w:rPr>
      </w:pPr>
      <w:r w:rsidRPr="00B66099">
        <w:rPr>
          <w:lang w:val="en-US"/>
        </w:rPr>
        <w:t>* For more information on the business lines/activities and the screen, please refer to the Index</w:t>
      </w:r>
      <w:r>
        <w:rPr>
          <w:lang w:val="en-US"/>
        </w:rPr>
        <w:t xml:space="preserve"> </w:t>
      </w:r>
      <w:r w:rsidRPr="00B66099">
        <w:rPr>
          <w:lang w:val="en-US"/>
        </w:rPr>
        <w:t>methodology available on bloombergindices.com</w:t>
      </w:r>
    </w:p>
    <w:p w14:paraId="3B7C71F4" w14:textId="0F7CEE16" w:rsidR="00B66099" w:rsidRPr="00B66099" w:rsidRDefault="00B66099" w:rsidP="00B66099">
      <w:pPr>
        <w:jc w:val="both"/>
        <w:rPr>
          <w:lang w:val="en-US"/>
        </w:rPr>
      </w:pPr>
      <w:r w:rsidRPr="00B66099">
        <w:rPr>
          <w:lang w:val="en-US"/>
        </w:rPr>
        <w:t>This is a passively managed ETF. Its investment strategy is to replicate the Index while minimizing the</w:t>
      </w:r>
      <w:r>
        <w:rPr>
          <w:lang w:val="en-US"/>
        </w:rPr>
        <w:t xml:space="preserve"> </w:t>
      </w:r>
      <w:r w:rsidRPr="00B66099">
        <w:rPr>
          <w:lang w:val="en-US"/>
        </w:rPr>
        <w:t>related tracking error.</w:t>
      </w:r>
    </w:p>
    <w:p w14:paraId="36046EF1" w14:textId="47D1800A" w:rsidR="00B66099" w:rsidRPr="00B66099" w:rsidRDefault="00B66099" w:rsidP="00B66099">
      <w:pPr>
        <w:jc w:val="both"/>
        <w:rPr>
          <w:lang w:val="en-US"/>
        </w:rPr>
      </w:pPr>
      <w:proofErr w:type="spellStart"/>
      <w:r w:rsidRPr="00B66099">
        <w:rPr>
          <w:lang w:val="en-US"/>
        </w:rPr>
        <w:t>iBoxx</w:t>
      </w:r>
      <w:proofErr w:type="spellEnd"/>
      <w:r w:rsidRPr="00B66099">
        <w:rPr>
          <w:lang w:val="en-US"/>
        </w:rPr>
        <w:t xml:space="preserve"> MSCI ESG EUR High Yield Corporates TCA Index (the "Index") screens out the constituents of the</w:t>
      </w:r>
      <w:r>
        <w:rPr>
          <w:lang w:val="en-US"/>
        </w:rPr>
        <w:t xml:space="preserve"> </w:t>
      </w:r>
      <w:r w:rsidRPr="00B66099">
        <w:rPr>
          <w:lang w:val="en-US"/>
        </w:rPr>
        <w:t>Parent Index based on the following criteria:</w:t>
      </w:r>
    </w:p>
    <w:p w14:paraId="3537FCF8" w14:textId="1B3425CB" w:rsidR="00B66099" w:rsidRPr="00B66099" w:rsidRDefault="00B66099" w:rsidP="00B66099">
      <w:pPr>
        <w:jc w:val="both"/>
        <w:rPr>
          <w:lang w:val="en-US"/>
        </w:rPr>
      </w:pPr>
      <w:r w:rsidRPr="00B66099">
        <w:rPr>
          <w:lang w:val="en-US"/>
        </w:rPr>
        <w:t>1. First, securities of companies involved in business lines/activities*: such as Alcohol, Tobacco,</w:t>
      </w:r>
      <w:r>
        <w:rPr>
          <w:lang w:val="en-US"/>
        </w:rPr>
        <w:t xml:space="preserve"> </w:t>
      </w:r>
      <w:r w:rsidRPr="00B66099">
        <w:rPr>
          <w:lang w:val="en-US"/>
        </w:rPr>
        <w:t>Gambling, Adult Entertainment, Genetically Modified organisms (GMO), Nuclear Power, Conventional</w:t>
      </w:r>
      <w:r>
        <w:rPr>
          <w:lang w:val="en-US"/>
        </w:rPr>
        <w:t xml:space="preserve"> </w:t>
      </w:r>
      <w:r w:rsidRPr="00B66099">
        <w:rPr>
          <w:lang w:val="en-US"/>
        </w:rPr>
        <w:t>and Controversial Weapons, Civilian Firearms, Thermal Coal or Fossil Fuels, as per the standard</w:t>
      </w:r>
      <w:r>
        <w:rPr>
          <w:lang w:val="en-US"/>
        </w:rPr>
        <w:t xml:space="preserve"> </w:t>
      </w:r>
      <w:r w:rsidRPr="00B66099">
        <w:rPr>
          <w:lang w:val="en-US"/>
        </w:rPr>
        <w:t>Bloomberg MSCI SRI screen, are excluded.</w:t>
      </w:r>
    </w:p>
    <w:p w14:paraId="3FF091F5" w14:textId="77777777" w:rsidR="00B66099" w:rsidRPr="00B66099" w:rsidRDefault="00B66099" w:rsidP="00B66099">
      <w:pPr>
        <w:jc w:val="both"/>
        <w:rPr>
          <w:lang w:val="en-US"/>
        </w:rPr>
      </w:pPr>
      <w:r w:rsidRPr="00B66099">
        <w:rPr>
          <w:lang w:val="en-US"/>
        </w:rPr>
        <w:lastRenderedPageBreak/>
        <w:t>2. Securities of companies with an MSCI ESG rating of BB and below are excluded.</w:t>
      </w:r>
    </w:p>
    <w:p w14:paraId="2DF9B0C9" w14:textId="325FA0D6" w:rsidR="00B66099" w:rsidRPr="00B66099" w:rsidRDefault="00B66099" w:rsidP="00B66099">
      <w:pPr>
        <w:jc w:val="both"/>
        <w:rPr>
          <w:lang w:val="en-US"/>
        </w:rPr>
      </w:pPr>
      <w:r w:rsidRPr="00B66099">
        <w:rPr>
          <w:lang w:val="en-US"/>
        </w:rPr>
        <w:t>3. Companies with an MSCI ESG Controversies Score of less than 1 are excluded.</w:t>
      </w:r>
      <w:r>
        <w:rPr>
          <w:lang w:val="en-US"/>
        </w:rPr>
        <w:t xml:space="preserve"> </w:t>
      </w:r>
      <w:r w:rsidRPr="00B66099">
        <w:rPr>
          <w:lang w:val="en-US"/>
        </w:rPr>
        <w:t>In the event that the above MSCI ESG screenings result in less than 20% of issuers being excluded</w:t>
      </w:r>
      <w:r>
        <w:rPr>
          <w:lang w:val="en-US"/>
        </w:rPr>
        <w:t xml:space="preserve"> </w:t>
      </w:r>
      <w:r w:rsidRPr="00B66099">
        <w:rPr>
          <w:lang w:val="en-US"/>
        </w:rPr>
        <w:t>from the Parent Index at every rebalance date, additional ranking rules are applied to the issuers in</w:t>
      </w:r>
      <w:r>
        <w:rPr>
          <w:lang w:val="en-US"/>
        </w:rPr>
        <w:t xml:space="preserve"> </w:t>
      </w:r>
      <w:r w:rsidRPr="00B66099">
        <w:rPr>
          <w:lang w:val="en-US"/>
        </w:rPr>
        <w:t>the ESG-screened universe, as follows:</w:t>
      </w:r>
    </w:p>
    <w:p w14:paraId="5EFFC7BD" w14:textId="77777777" w:rsidR="00B66099" w:rsidRPr="00B66099" w:rsidRDefault="00B66099" w:rsidP="00B66099">
      <w:pPr>
        <w:jc w:val="both"/>
        <w:rPr>
          <w:lang w:val="en-US"/>
        </w:rPr>
      </w:pPr>
      <w:r w:rsidRPr="00B66099">
        <w:rPr>
          <w:lang w:val="en-US"/>
        </w:rPr>
        <w:t>1. MSCI ESG rating score (descending)</w:t>
      </w:r>
    </w:p>
    <w:p w14:paraId="159E8AC2" w14:textId="77777777" w:rsidR="00B66099" w:rsidRPr="00B66099" w:rsidRDefault="00B66099" w:rsidP="00B66099">
      <w:pPr>
        <w:jc w:val="both"/>
        <w:rPr>
          <w:lang w:val="en-US"/>
        </w:rPr>
      </w:pPr>
      <w:r w:rsidRPr="00B66099">
        <w:rPr>
          <w:lang w:val="en-US"/>
        </w:rPr>
        <w:t>2. MSCI ESG Controversies score (descending)</w:t>
      </w:r>
    </w:p>
    <w:p w14:paraId="7E3DF9EE" w14:textId="77777777" w:rsidR="00B66099" w:rsidRPr="00B66099" w:rsidRDefault="00B66099" w:rsidP="00B66099">
      <w:pPr>
        <w:jc w:val="both"/>
        <w:rPr>
          <w:lang w:val="en-US"/>
        </w:rPr>
      </w:pPr>
      <w:r w:rsidRPr="00B66099">
        <w:rPr>
          <w:lang w:val="en-US"/>
        </w:rPr>
        <w:t>3. Issuer market value in the ESG - screened universe (descending)</w:t>
      </w:r>
    </w:p>
    <w:p w14:paraId="5DBE155C" w14:textId="27F6450F" w:rsidR="00B66099" w:rsidRPr="00B66099" w:rsidRDefault="00B66099" w:rsidP="00B66099">
      <w:pPr>
        <w:jc w:val="both"/>
        <w:rPr>
          <w:lang w:val="en-US"/>
        </w:rPr>
      </w:pPr>
      <w:r w:rsidRPr="00B66099">
        <w:rPr>
          <w:lang w:val="en-US"/>
        </w:rPr>
        <w:t>Based on the above ranking issuers will be excluded one by one (starting with the lowest ranked</w:t>
      </w:r>
      <w:r>
        <w:rPr>
          <w:lang w:val="en-US"/>
        </w:rPr>
        <w:t xml:space="preserve"> </w:t>
      </w:r>
      <w:r w:rsidRPr="00B66099">
        <w:rPr>
          <w:lang w:val="en-US"/>
        </w:rPr>
        <w:t>issuer) until the 20% minimum exclusion rule is satisfied.</w:t>
      </w:r>
    </w:p>
    <w:p w14:paraId="1C392522" w14:textId="76EE779A" w:rsidR="00B66099" w:rsidRPr="00B66099" w:rsidRDefault="00B66099" w:rsidP="00B66099">
      <w:pPr>
        <w:jc w:val="both"/>
        <w:rPr>
          <w:lang w:val="en-US"/>
        </w:rPr>
      </w:pPr>
      <w:r w:rsidRPr="00B66099">
        <w:rPr>
          <w:lang w:val="en-US"/>
        </w:rPr>
        <w:t>The remaining securities are weighted according to their total market capitalization with a soft issuer</w:t>
      </w:r>
      <w:r>
        <w:rPr>
          <w:lang w:val="en-US"/>
        </w:rPr>
        <w:t xml:space="preserve"> </w:t>
      </w:r>
      <w:r w:rsidRPr="00B66099">
        <w:rPr>
          <w:lang w:val="en-US"/>
        </w:rPr>
        <w:t>cap of 3%. In the event that there are not enough distinct issuers to satisfy the soft cap, a hard cap of</w:t>
      </w:r>
      <w:r w:rsidRPr="00B66099">
        <w:rPr>
          <w:lang w:val="en-US"/>
        </w:rPr>
        <w:t xml:space="preserve"> </w:t>
      </w:r>
      <w:r w:rsidRPr="00B66099">
        <w:rPr>
          <w:lang w:val="en-US"/>
        </w:rPr>
        <w:t>5% will be used.</w:t>
      </w:r>
    </w:p>
    <w:p w14:paraId="57525195" w14:textId="77777777" w:rsidR="00B66099" w:rsidRPr="00B66099" w:rsidRDefault="00B66099" w:rsidP="00B66099">
      <w:pPr>
        <w:jc w:val="both"/>
        <w:rPr>
          <w:lang w:val="en-US"/>
        </w:rPr>
      </w:pPr>
      <w:r w:rsidRPr="00B66099">
        <w:rPr>
          <w:lang w:val="en-US"/>
        </w:rPr>
        <w:t>* For more information on the business lines/activities and the screen, please refer to the Index</w:t>
      </w:r>
    </w:p>
    <w:p w14:paraId="0C109EDE" w14:textId="77777777" w:rsidR="00B66099" w:rsidRPr="00B66099" w:rsidRDefault="00B66099" w:rsidP="00B66099">
      <w:pPr>
        <w:jc w:val="both"/>
        <w:rPr>
          <w:lang w:val="en-US"/>
        </w:rPr>
      </w:pPr>
      <w:r w:rsidRPr="00B66099">
        <w:rPr>
          <w:lang w:val="en-US"/>
        </w:rPr>
        <w:t>methodology available on bloombergindices.com</w:t>
      </w:r>
    </w:p>
    <w:p w14:paraId="6E9CD3E8" w14:textId="085F0C06" w:rsidR="00B66099" w:rsidRPr="00B66099" w:rsidRDefault="00B66099" w:rsidP="00B66099">
      <w:pPr>
        <w:jc w:val="both"/>
        <w:rPr>
          <w:lang w:val="en-US"/>
        </w:rPr>
      </w:pPr>
      <w:r w:rsidRPr="00B66099">
        <w:rPr>
          <w:lang w:val="en-US"/>
        </w:rPr>
        <w:t xml:space="preserve">The Product strategy is also relying on systematic exclusions policies (normative and </w:t>
      </w:r>
      <w:proofErr w:type="spellStart"/>
      <w:r w:rsidRPr="00B66099">
        <w:rPr>
          <w:lang w:val="en-US"/>
        </w:rPr>
        <w:t>sectorials</w:t>
      </w:r>
      <w:proofErr w:type="spellEnd"/>
      <w:r w:rsidRPr="00B66099">
        <w:rPr>
          <w:lang w:val="en-US"/>
        </w:rPr>
        <w:t>) as</w:t>
      </w:r>
      <w:r>
        <w:rPr>
          <w:lang w:val="en-US"/>
        </w:rPr>
        <w:t xml:space="preserve"> </w:t>
      </w:r>
      <w:r w:rsidRPr="00B66099">
        <w:rPr>
          <w:lang w:val="en-US"/>
        </w:rPr>
        <w:t>further described in Amundi Responsible Investment policy.</w:t>
      </w:r>
    </w:p>
    <w:p w14:paraId="2ECEC2E2" w14:textId="4BE78CE4" w:rsidR="00B66099" w:rsidRDefault="00B66099" w:rsidP="00B66099">
      <w:pPr>
        <w:jc w:val="both"/>
        <w:rPr>
          <w:lang w:val="en-US"/>
        </w:rPr>
      </w:pPr>
      <w:r w:rsidRPr="00B66099">
        <w:rPr>
          <w:lang w:val="en-US"/>
        </w:rPr>
        <w:t>The Index applies exclusions to companies involved in activities considered non-aligned with the Paris</w:t>
      </w:r>
      <w:r>
        <w:rPr>
          <w:lang w:val="en-US"/>
        </w:rPr>
        <w:t xml:space="preserve"> </w:t>
      </w:r>
      <w:r w:rsidRPr="00B66099">
        <w:rPr>
          <w:lang w:val="en-US"/>
        </w:rPr>
        <w:t xml:space="preserve">Climate Agreement (coal extraction, oil, </w:t>
      </w:r>
      <w:proofErr w:type="spellStart"/>
      <w:r w:rsidRPr="00B66099">
        <w:rPr>
          <w:lang w:val="en-US"/>
        </w:rPr>
        <w:t>etc</w:t>
      </w:r>
      <w:proofErr w:type="spellEnd"/>
      <w:r w:rsidRPr="00B66099">
        <w:rPr>
          <w:lang w:val="en-US"/>
        </w:rPr>
        <w:t>). Those exclusions are provided for in Art. 12 (1) (a)-(g) of</w:t>
      </w:r>
      <w:r>
        <w:rPr>
          <w:lang w:val="en-US"/>
        </w:rPr>
        <w:t xml:space="preserve"> </w:t>
      </w:r>
      <w:r w:rsidRPr="00B66099">
        <w:rPr>
          <w:lang w:val="en-US"/>
        </w:rPr>
        <w:t>the Commission Delegated Regulation (EU) 2020/1818 of 17 July 2020 supplementing Regulation (EU)</w:t>
      </w:r>
      <w:r>
        <w:rPr>
          <w:lang w:val="en-US"/>
        </w:rPr>
        <w:t xml:space="preserve"> </w:t>
      </w:r>
      <w:r w:rsidRPr="00B66099">
        <w:rPr>
          <w:lang w:val="en-US"/>
        </w:rPr>
        <w:t>2016/1011 of the European Parliament and of the Council as regards minimum standards for EU</w:t>
      </w:r>
      <w:r>
        <w:rPr>
          <w:lang w:val="en-US"/>
        </w:rPr>
        <w:t xml:space="preserve"> </w:t>
      </w:r>
      <w:r w:rsidRPr="00B66099">
        <w:rPr>
          <w:lang w:val="en-US"/>
        </w:rPr>
        <w:t>Climate Transition Benchmarks and EU Paris-aligned Benchmarks. For further information please refer</w:t>
      </w:r>
      <w:r>
        <w:rPr>
          <w:lang w:val="en-US"/>
        </w:rPr>
        <w:t xml:space="preserve"> </w:t>
      </w:r>
      <w:r w:rsidRPr="00B66099">
        <w:rPr>
          <w:lang w:val="en-US"/>
        </w:rPr>
        <w:t>to the "Guidelines on funds' names using ESG or sustainability-related terms" section of the</w:t>
      </w:r>
      <w:r>
        <w:rPr>
          <w:lang w:val="en-US"/>
        </w:rPr>
        <w:t xml:space="preserve"> </w:t>
      </w:r>
      <w:r w:rsidRPr="00B66099">
        <w:rPr>
          <w:lang w:val="en-US"/>
        </w:rPr>
        <w:t>Prospectus.</w:t>
      </w:r>
    </w:p>
    <w:p w14:paraId="56D7B633" w14:textId="24B49899"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6AEC756F" w14:textId="0E57B42C" w:rsidR="00025D8E" w:rsidRPr="00025D8E" w:rsidRDefault="00025D8E" w:rsidP="00025D8E">
      <w:pPr>
        <w:jc w:val="both"/>
        <w:rPr>
          <w:lang w:val="en-US"/>
        </w:rPr>
      </w:pPr>
      <w:r w:rsidRPr="00025D8E">
        <w:rPr>
          <w:lang w:val="en-US"/>
        </w:rPr>
        <w:t>At least 90% of the Sub-Fund's securities and instruments will meet the promoted environmental or social</w:t>
      </w:r>
      <w:r>
        <w:rPr>
          <w:lang w:val="en-US"/>
        </w:rPr>
        <w:t xml:space="preserve"> </w:t>
      </w:r>
      <w:r w:rsidRPr="00025D8E">
        <w:rPr>
          <w:lang w:val="en-US"/>
        </w:rPr>
        <w:t>characteristics in accordance with the binding elements of the Index methodology. Furthermore, the</w:t>
      </w:r>
      <w:r>
        <w:rPr>
          <w:lang w:val="en-US"/>
        </w:rPr>
        <w:t xml:space="preserve"> </w:t>
      </w:r>
      <w:r w:rsidRPr="00025D8E">
        <w:rPr>
          <w:lang w:val="en-US"/>
        </w:rPr>
        <w:t>Sub-Fund commits to have a minimum of 20% of sustainable investments as per the below chart.</w:t>
      </w:r>
      <w:r>
        <w:rPr>
          <w:lang w:val="en-US"/>
        </w:rPr>
        <w:t xml:space="preserve"> </w:t>
      </w:r>
      <w:r w:rsidRPr="00025D8E">
        <w:rPr>
          <w:lang w:val="en-US"/>
        </w:rPr>
        <w:t>Investments aligned with other E/S characteristics (#1B) will represent the difference between the actual</w:t>
      </w:r>
      <w:r>
        <w:rPr>
          <w:lang w:val="en-US"/>
        </w:rPr>
        <w:t xml:space="preserve"> </w:t>
      </w:r>
      <w:r w:rsidRPr="00025D8E">
        <w:rPr>
          <w:lang w:val="en-US"/>
        </w:rPr>
        <w:t>proportion of investments aligned with environmental or social characteristics (#1) and the actual</w:t>
      </w:r>
      <w:r>
        <w:rPr>
          <w:lang w:val="en-US"/>
        </w:rPr>
        <w:t xml:space="preserve"> </w:t>
      </w:r>
      <w:r w:rsidRPr="00025D8E">
        <w:rPr>
          <w:lang w:val="en-US"/>
        </w:rPr>
        <w:t>proportion of sustainable investments (#1A).</w:t>
      </w:r>
    </w:p>
    <w:p w14:paraId="689BCB31" w14:textId="1DE34974" w:rsidR="002E3534" w:rsidRDefault="00025D8E" w:rsidP="00025D8E">
      <w:pPr>
        <w:jc w:val="both"/>
        <w:rPr>
          <w:lang w:val="en-US"/>
        </w:rPr>
      </w:pPr>
      <w:r w:rsidRPr="00025D8E">
        <w:rPr>
          <w:lang w:val="en-US"/>
        </w:rPr>
        <w:t>The planned proportion of other environmental investment represents a minimum of 20% (</w:t>
      </w:r>
      <w:proofErr w:type="spellStart"/>
      <w:r w:rsidRPr="00025D8E">
        <w:rPr>
          <w:lang w:val="en-US"/>
        </w:rPr>
        <w:t>i</w:t>
      </w:r>
      <w:proofErr w:type="spellEnd"/>
      <w:r w:rsidRPr="00025D8E">
        <w:rPr>
          <w:lang w:val="en-US"/>
        </w:rPr>
        <w:t>) and may</w:t>
      </w:r>
      <w:r>
        <w:rPr>
          <w:lang w:val="en-US"/>
        </w:rPr>
        <w:t xml:space="preserve"> </w:t>
      </w:r>
      <w:r w:rsidRPr="00025D8E">
        <w:rPr>
          <w:lang w:val="en-US"/>
        </w:rPr>
        <w:t>change as the actual proportions of Taxonomy-aligned and/or Social investments increase.</w:t>
      </w:r>
    </w:p>
    <w:p w14:paraId="394B70ED" w14:textId="77777777" w:rsidR="00025D8E" w:rsidRPr="00C2259E" w:rsidRDefault="00025D8E" w:rsidP="00025D8E">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lastRenderedPageBreak/>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lastRenderedPageBreak/>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1CE57C8E" w14:textId="4E61F364" w:rsidR="00D07862" w:rsidRDefault="00D07862" w:rsidP="00D07862">
      <w:pPr>
        <w:tabs>
          <w:tab w:val="num" w:pos="1560"/>
        </w:tabs>
        <w:spacing w:after="0"/>
        <w:jc w:val="both"/>
        <w:rPr>
          <w:lang w:val="en-US"/>
        </w:rPr>
      </w:pPr>
      <w:proofErr w:type="spellStart"/>
      <w:r w:rsidRPr="00D07862">
        <w:rPr>
          <w:lang w:val="en-US"/>
        </w:rPr>
        <w:t>iBoxx</w:t>
      </w:r>
      <w:proofErr w:type="spellEnd"/>
      <w:r w:rsidRPr="00D07862">
        <w:rPr>
          <w:lang w:val="en-US"/>
        </w:rPr>
        <w:t xml:space="preserve"> MSCI ESG EUR High Yield Corporates TCA Index is a bond index representative of</w:t>
      </w:r>
      <w:r>
        <w:rPr>
          <w:lang w:val="en-US"/>
        </w:rPr>
        <w:t xml:space="preserve"> </w:t>
      </w:r>
      <w:r w:rsidRPr="00D07862">
        <w:rPr>
          <w:lang w:val="en-US"/>
        </w:rPr>
        <w:t xml:space="preserve">euro-denominated BB/B rated bonds issued by corporate issuers that follows the rules of the </w:t>
      </w:r>
      <w:proofErr w:type="spellStart"/>
      <w:r w:rsidRPr="00D07862">
        <w:rPr>
          <w:lang w:val="en-US"/>
        </w:rPr>
        <w:t>iBoxx</w:t>
      </w:r>
      <w:proofErr w:type="spellEnd"/>
      <w:r>
        <w:rPr>
          <w:lang w:val="en-US"/>
        </w:rPr>
        <w:t xml:space="preserve"> </w:t>
      </w:r>
      <w:r w:rsidRPr="00D07862">
        <w:rPr>
          <w:lang w:val="en-US"/>
        </w:rPr>
        <w:t>EUR High Yield TCA Index (the "Parent Index") and applies ESG criteria for security eligibility.</w:t>
      </w:r>
    </w:p>
    <w:p w14:paraId="535C32E7" w14:textId="5DC783F9" w:rsidR="00272493" w:rsidRPr="003D5F22" w:rsidRDefault="00D07862" w:rsidP="00D07862">
      <w:pPr>
        <w:tabs>
          <w:tab w:val="num" w:pos="1560"/>
        </w:tabs>
        <w:spacing w:after="0"/>
        <w:jc w:val="both"/>
        <w:rPr>
          <w:lang w:val="en-US"/>
        </w:rPr>
      </w:pPr>
      <w:r w:rsidRPr="00D07862">
        <w:rPr>
          <w:lang w:val="en-US"/>
        </w:rPr>
        <w:t>Additional information on the Index can be found at</w:t>
      </w:r>
      <w:r>
        <w:rPr>
          <w:lang w:val="en-US"/>
        </w:rPr>
        <w:t xml:space="preserve"> </w:t>
      </w:r>
      <w:hyperlink r:id="rId7" w:history="1">
        <w:r w:rsidR="00272493" w:rsidRPr="00D00BF8">
          <w:rPr>
            <w:rStyle w:val="Lienhypertexte"/>
            <w:lang w:val="en-US"/>
          </w:rPr>
          <w:t>https://www.markit.com/Documentation/Product/Iboxx</w:t>
        </w:r>
      </w:hyperlink>
    </w:p>
    <w:sectPr w:rsidR="00272493" w:rsidRPr="003D5F2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C1"/>
    <w:rsid w:val="000C26DD"/>
    <w:rsid w:val="000C37EA"/>
    <w:rsid w:val="000D6298"/>
    <w:rsid w:val="000E3C3A"/>
    <w:rsid w:val="000F06B2"/>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71B9"/>
    <w:rsid w:val="00260872"/>
    <w:rsid w:val="00263C97"/>
    <w:rsid w:val="002641AB"/>
    <w:rsid w:val="00272493"/>
    <w:rsid w:val="0027769D"/>
    <w:rsid w:val="00280D04"/>
    <w:rsid w:val="00283B80"/>
    <w:rsid w:val="00284163"/>
    <w:rsid w:val="00293B6F"/>
    <w:rsid w:val="00294978"/>
    <w:rsid w:val="002959E1"/>
    <w:rsid w:val="002A3C18"/>
    <w:rsid w:val="002A6E26"/>
    <w:rsid w:val="002D6D73"/>
    <w:rsid w:val="002E1A59"/>
    <w:rsid w:val="002E3534"/>
    <w:rsid w:val="002E4966"/>
    <w:rsid w:val="002E5E0A"/>
    <w:rsid w:val="002F6AA5"/>
    <w:rsid w:val="002F7745"/>
    <w:rsid w:val="00310E2B"/>
    <w:rsid w:val="00325BC8"/>
    <w:rsid w:val="00326E22"/>
    <w:rsid w:val="0033164A"/>
    <w:rsid w:val="003372E4"/>
    <w:rsid w:val="00341EEF"/>
    <w:rsid w:val="003424AD"/>
    <w:rsid w:val="003452B6"/>
    <w:rsid w:val="00350C90"/>
    <w:rsid w:val="00354CE1"/>
    <w:rsid w:val="0035612E"/>
    <w:rsid w:val="003745AC"/>
    <w:rsid w:val="00383CA8"/>
    <w:rsid w:val="0038498B"/>
    <w:rsid w:val="00390888"/>
    <w:rsid w:val="00395D8D"/>
    <w:rsid w:val="0039750F"/>
    <w:rsid w:val="003A2187"/>
    <w:rsid w:val="003A5B9D"/>
    <w:rsid w:val="003B12EB"/>
    <w:rsid w:val="003B5B66"/>
    <w:rsid w:val="003C3246"/>
    <w:rsid w:val="003C40BE"/>
    <w:rsid w:val="003C68FA"/>
    <w:rsid w:val="003D5F22"/>
    <w:rsid w:val="003D7A6E"/>
    <w:rsid w:val="003E1445"/>
    <w:rsid w:val="003E4109"/>
    <w:rsid w:val="003E79F8"/>
    <w:rsid w:val="003E7FC1"/>
    <w:rsid w:val="003F0A0C"/>
    <w:rsid w:val="004069FB"/>
    <w:rsid w:val="0041028C"/>
    <w:rsid w:val="004143CF"/>
    <w:rsid w:val="004151F2"/>
    <w:rsid w:val="0041713B"/>
    <w:rsid w:val="0042053C"/>
    <w:rsid w:val="00423A24"/>
    <w:rsid w:val="00430F6F"/>
    <w:rsid w:val="00432E0E"/>
    <w:rsid w:val="004558A2"/>
    <w:rsid w:val="00465DAB"/>
    <w:rsid w:val="00476C46"/>
    <w:rsid w:val="0048166E"/>
    <w:rsid w:val="00485614"/>
    <w:rsid w:val="00492750"/>
    <w:rsid w:val="004B0D75"/>
    <w:rsid w:val="004B465F"/>
    <w:rsid w:val="004B5CFA"/>
    <w:rsid w:val="004C719B"/>
    <w:rsid w:val="004D1687"/>
    <w:rsid w:val="004E051F"/>
    <w:rsid w:val="004E707D"/>
    <w:rsid w:val="004F0B15"/>
    <w:rsid w:val="004F513A"/>
    <w:rsid w:val="0051185F"/>
    <w:rsid w:val="00511941"/>
    <w:rsid w:val="00515866"/>
    <w:rsid w:val="005209B4"/>
    <w:rsid w:val="0053001B"/>
    <w:rsid w:val="005324D2"/>
    <w:rsid w:val="00540C2B"/>
    <w:rsid w:val="005439F1"/>
    <w:rsid w:val="005623A1"/>
    <w:rsid w:val="00570448"/>
    <w:rsid w:val="005735DA"/>
    <w:rsid w:val="005804D7"/>
    <w:rsid w:val="00581020"/>
    <w:rsid w:val="00590A95"/>
    <w:rsid w:val="0059484D"/>
    <w:rsid w:val="00597FD7"/>
    <w:rsid w:val="005B0C03"/>
    <w:rsid w:val="005B2C81"/>
    <w:rsid w:val="005B7D1E"/>
    <w:rsid w:val="005D4899"/>
    <w:rsid w:val="005E1D0B"/>
    <w:rsid w:val="005F241D"/>
    <w:rsid w:val="005F6C0F"/>
    <w:rsid w:val="0060705D"/>
    <w:rsid w:val="00611DF9"/>
    <w:rsid w:val="00613FBC"/>
    <w:rsid w:val="00624504"/>
    <w:rsid w:val="006270AA"/>
    <w:rsid w:val="0063085B"/>
    <w:rsid w:val="006330C4"/>
    <w:rsid w:val="006435A9"/>
    <w:rsid w:val="0064653C"/>
    <w:rsid w:val="0064711D"/>
    <w:rsid w:val="00647AAD"/>
    <w:rsid w:val="006615D7"/>
    <w:rsid w:val="00671808"/>
    <w:rsid w:val="00671851"/>
    <w:rsid w:val="00680694"/>
    <w:rsid w:val="00692A33"/>
    <w:rsid w:val="0069514F"/>
    <w:rsid w:val="006A57EB"/>
    <w:rsid w:val="006B0E2B"/>
    <w:rsid w:val="006C2A16"/>
    <w:rsid w:val="006D29BA"/>
    <w:rsid w:val="006E112F"/>
    <w:rsid w:val="006E2884"/>
    <w:rsid w:val="006E3684"/>
    <w:rsid w:val="006F50CA"/>
    <w:rsid w:val="00700713"/>
    <w:rsid w:val="007013FB"/>
    <w:rsid w:val="00702BF5"/>
    <w:rsid w:val="00704FB1"/>
    <w:rsid w:val="00705AA3"/>
    <w:rsid w:val="007233C7"/>
    <w:rsid w:val="00737508"/>
    <w:rsid w:val="00742E22"/>
    <w:rsid w:val="007528F2"/>
    <w:rsid w:val="00754D01"/>
    <w:rsid w:val="0075521E"/>
    <w:rsid w:val="00762E08"/>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29EC"/>
    <w:rsid w:val="008012C0"/>
    <w:rsid w:val="008033B1"/>
    <w:rsid w:val="008123E4"/>
    <w:rsid w:val="00812C50"/>
    <w:rsid w:val="00813464"/>
    <w:rsid w:val="00814D70"/>
    <w:rsid w:val="00815B0D"/>
    <w:rsid w:val="00820C4E"/>
    <w:rsid w:val="00826382"/>
    <w:rsid w:val="008309FE"/>
    <w:rsid w:val="00830EFE"/>
    <w:rsid w:val="008332F9"/>
    <w:rsid w:val="00845BC3"/>
    <w:rsid w:val="00851D0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D31E9"/>
    <w:rsid w:val="009D411D"/>
    <w:rsid w:val="009D4D38"/>
    <w:rsid w:val="009D50F1"/>
    <w:rsid w:val="009D6130"/>
    <w:rsid w:val="009E1B3F"/>
    <w:rsid w:val="009E2F1C"/>
    <w:rsid w:val="00A00C9D"/>
    <w:rsid w:val="00A157B5"/>
    <w:rsid w:val="00A224AA"/>
    <w:rsid w:val="00A27CA9"/>
    <w:rsid w:val="00A3020F"/>
    <w:rsid w:val="00A3536B"/>
    <w:rsid w:val="00A537DC"/>
    <w:rsid w:val="00A541C6"/>
    <w:rsid w:val="00A57014"/>
    <w:rsid w:val="00A61661"/>
    <w:rsid w:val="00A652F9"/>
    <w:rsid w:val="00A70259"/>
    <w:rsid w:val="00A71155"/>
    <w:rsid w:val="00A9194B"/>
    <w:rsid w:val="00A92EF2"/>
    <w:rsid w:val="00AA4012"/>
    <w:rsid w:val="00AD430C"/>
    <w:rsid w:val="00AD6E0C"/>
    <w:rsid w:val="00AD736D"/>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771E4"/>
    <w:rsid w:val="00B95447"/>
    <w:rsid w:val="00BA4B8D"/>
    <w:rsid w:val="00BB16B6"/>
    <w:rsid w:val="00BD0971"/>
    <w:rsid w:val="00BE6315"/>
    <w:rsid w:val="00BF1728"/>
    <w:rsid w:val="00C03250"/>
    <w:rsid w:val="00C14968"/>
    <w:rsid w:val="00C14A7D"/>
    <w:rsid w:val="00C15A78"/>
    <w:rsid w:val="00C2259E"/>
    <w:rsid w:val="00C239CC"/>
    <w:rsid w:val="00C31151"/>
    <w:rsid w:val="00C348D9"/>
    <w:rsid w:val="00C41D7F"/>
    <w:rsid w:val="00C4338E"/>
    <w:rsid w:val="00C46B89"/>
    <w:rsid w:val="00C46CDB"/>
    <w:rsid w:val="00C62D2A"/>
    <w:rsid w:val="00C73E3F"/>
    <w:rsid w:val="00C74E99"/>
    <w:rsid w:val="00C86E30"/>
    <w:rsid w:val="00CA1772"/>
    <w:rsid w:val="00CA7D78"/>
    <w:rsid w:val="00CB6D7C"/>
    <w:rsid w:val="00CC1AA8"/>
    <w:rsid w:val="00CC3FA8"/>
    <w:rsid w:val="00CD0B58"/>
    <w:rsid w:val="00CD3603"/>
    <w:rsid w:val="00CD5149"/>
    <w:rsid w:val="00CF056D"/>
    <w:rsid w:val="00CF56BA"/>
    <w:rsid w:val="00CF6F98"/>
    <w:rsid w:val="00CF72EA"/>
    <w:rsid w:val="00CF7ECE"/>
    <w:rsid w:val="00D0523C"/>
    <w:rsid w:val="00D07862"/>
    <w:rsid w:val="00D13CF0"/>
    <w:rsid w:val="00D179E0"/>
    <w:rsid w:val="00D2174C"/>
    <w:rsid w:val="00D22BB1"/>
    <w:rsid w:val="00D237F4"/>
    <w:rsid w:val="00D27CC4"/>
    <w:rsid w:val="00D4126C"/>
    <w:rsid w:val="00D5388D"/>
    <w:rsid w:val="00D54CBD"/>
    <w:rsid w:val="00D620C1"/>
    <w:rsid w:val="00D63DDF"/>
    <w:rsid w:val="00D77F20"/>
    <w:rsid w:val="00D8366E"/>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EB3"/>
    <w:rsid w:val="00E44562"/>
    <w:rsid w:val="00E52A88"/>
    <w:rsid w:val="00E53161"/>
    <w:rsid w:val="00E56FD9"/>
    <w:rsid w:val="00E64A39"/>
    <w:rsid w:val="00E64F89"/>
    <w:rsid w:val="00E6630F"/>
    <w:rsid w:val="00E66648"/>
    <w:rsid w:val="00E72DF7"/>
    <w:rsid w:val="00E72F77"/>
    <w:rsid w:val="00E7432D"/>
    <w:rsid w:val="00E74C16"/>
    <w:rsid w:val="00E77637"/>
    <w:rsid w:val="00E87775"/>
    <w:rsid w:val="00E93383"/>
    <w:rsid w:val="00E93F70"/>
    <w:rsid w:val="00EA086D"/>
    <w:rsid w:val="00EA66DE"/>
    <w:rsid w:val="00EC10E8"/>
    <w:rsid w:val="00EC708F"/>
    <w:rsid w:val="00EC73C4"/>
    <w:rsid w:val="00ED2956"/>
    <w:rsid w:val="00ED6B09"/>
    <w:rsid w:val="00EE3F87"/>
    <w:rsid w:val="00EF19FB"/>
    <w:rsid w:val="00F03360"/>
    <w:rsid w:val="00F03C6B"/>
    <w:rsid w:val="00F126CC"/>
    <w:rsid w:val="00F334B8"/>
    <w:rsid w:val="00F52BCD"/>
    <w:rsid w:val="00F53E61"/>
    <w:rsid w:val="00F6179F"/>
    <w:rsid w:val="00F66EA8"/>
    <w:rsid w:val="00F7420A"/>
    <w:rsid w:val="00F765FE"/>
    <w:rsid w:val="00F92E11"/>
    <w:rsid w:val="00FB0B0A"/>
    <w:rsid w:val="00FB2071"/>
    <w:rsid w:val="00FB50AD"/>
    <w:rsid w:val="00FC1D8C"/>
    <w:rsid w:val="00FC3984"/>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arkit.com/Documentation/Product/Ibox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2937</Words>
  <Characters>17420</Characters>
  <Application>Microsoft Office Word</Application>
  <DocSecurity>0</DocSecurity>
  <Lines>1024</Lines>
  <Paragraphs>701</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364</cp:revision>
  <dcterms:created xsi:type="dcterms:W3CDTF">2022-11-23T07:47:00Z</dcterms:created>
  <dcterms:modified xsi:type="dcterms:W3CDTF">2025-04-29T09:34:00Z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