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4DB6" w14:textId="0A9E014F" w:rsidR="00432E0E" w:rsidRPr="00FE221D" w:rsidRDefault="001A1570" w:rsidP="00432E0E">
      <w:pPr>
        <w:ind w:left="-851" w:right="-851"/>
        <w:jc w:val="center"/>
        <w:rPr>
          <w:rFonts w:cstheme="minorHAnsi"/>
          <w:b/>
          <w:bCs/>
          <w:color w:val="004F9F" w:themeColor="accent2"/>
          <w:sz w:val="24"/>
          <w:szCs w:val="24"/>
          <w:lang w:val="en-US"/>
        </w:rPr>
      </w:pPr>
      <w:bookmarkStart w:id="0" w:name="_Hlk121475070"/>
      <w:r w:rsidRPr="00FE221D">
        <w:rPr>
          <w:rFonts w:cstheme="minorHAnsi"/>
          <w:b/>
          <w:bCs/>
          <w:color w:val="004F9F" w:themeColor="accent2"/>
          <w:sz w:val="24"/>
          <w:szCs w:val="24"/>
          <w:lang w:val="en-US"/>
        </w:rPr>
        <w:t xml:space="preserve">Website Product Disclosures further to art. 10(1) of the Sustainable Finance Disclosure Regulation for art. 8 </w:t>
      </w:r>
      <w:r w:rsidR="00CC3FA8">
        <w:rPr>
          <w:rFonts w:cstheme="minorHAnsi"/>
          <w:b/>
          <w:bCs/>
          <w:color w:val="004F9F" w:themeColor="accent2"/>
          <w:sz w:val="24"/>
          <w:szCs w:val="24"/>
          <w:lang w:val="en-US"/>
        </w:rPr>
        <w:t>financial products</w:t>
      </w:r>
      <w:r w:rsidRPr="00FE221D">
        <w:rPr>
          <w:rFonts w:cstheme="minorHAnsi"/>
          <w:b/>
          <w:bCs/>
          <w:color w:val="004F9F" w:themeColor="accent2"/>
          <w:sz w:val="24"/>
          <w:szCs w:val="24"/>
          <w:lang w:val="en-US"/>
        </w:rPr>
        <w:t xml:space="preserve"> </w:t>
      </w:r>
    </w:p>
    <w:bookmarkEnd w:id="0"/>
    <w:p w14:paraId="7207B8A6" w14:textId="7E7E8C68" w:rsidR="001B13EB" w:rsidRPr="00C2259E" w:rsidRDefault="001B13EB" w:rsidP="00C15A78">
      <w:pPr>
        <w:ind w:left="-851" w:right="-851"/>
        <w:rPr>
          <w:lang w:val="en-US"/>
        </w:rPr>
      </w:pPr>
    </w:p>
    <w:tbl>
      <w:tblPr>
        <w:tblStyle w:val="Grilledutableau"/>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E069DC" w14:paraId="3A58E765" w14:textId="77777777" w:rsidTr="003F0A0C">
        <w:tc>
          <w:tcPr>
            <w:tcW w:w="5387" w:type="dxa"/>
          </w:tcPr>
          <w:p w14:paraId="2B70FFDE" w14:textId="77777777" w:rsidR="007528F2" w:rsidRDefault="001A1570" w:rsidP="00C15A78">
            <w:pPr>
              <w:ind w:left="-851" w:right="-851"/>
              <w:jc w:val="both"/>
              <w:rPr>
                <w:lang w:val="en-US"/>
              </w:rPr>
            </w:pPr>
            <w:r w:rsidRPr="00C2259E">
              <w:rPr>
                <w:b/>
                <w:bCs/>
                <w:lang w:val="en-US"/>
              </w:rPr>
              <w:t xml:space="preserve">Product </w:t>
            </w:r>
            <w:r w:rsidR="00C15A78" w:rsidRPr="00C2259E">
              <w:rPr>
                <w:b/>
                <w:bCs/>
                <w:lang w:val="en-US"/>
              </w:rPr>
              <w:t>N</w:t>
            </w:r>
            <w:r w:rsidRPr="00C2259E">
              <w:rPr>
                <w:b/>
                <w:bCs/>
                <w:lang w:val="en-US"/>
              </w:rPr>
              <w:t>ame</w:t>
            </w:r>
            <w:r w:rsidRPr="00C2259E">
              <w:rPr>
                <w:lang w:val="en-US"/>
              </w:rPr>
              <w:t xml:space="preserve">: </w:t>
            </w:r>
          </w:p>
          <w:p w14:paraId="3A4A049C" w14:textId="52CBAC0B" w:rsidR="005E1D0B" w:rsidRPr="00E115D1" w:rsidRDefault="00E115D1" w:rsidP="007528F2">
            <w:pPr>
              <w:ind w:left="-101" w:right="-851"/>
              <w:jc w:val="both"/>
              <w:rPr>
                <w:lang w:val="en-US"/>
              </w:rPr>
            </w:pPr>
            <w:r w:rsidRPr="00E115D1">
              <w:rPr>
                <w:lang w:val="en-US"/>
              </w:rPr>
              <w:t>AMUNDI USD HIGH YIELD CORPORATE BOND ESG</w:t>
            </w:r>
          </w:p>
        </w:tc>
        <w:tc>
          <w:tcPr>
            <w:tcW w:w="5103" w:type="dxa"/>
          </w:tcPr>
          <w:p w14:paraId="518E4A1E" w14:textId="77777777" w:rsidR="007528F2" w:rsidRDefault="001A1570" w:rsidP="003F0A0C">
            <w:pPr>
              <w:ind w:right="-851"/>
              <w:rPr>
                <w:lang w:val="it-IT"/>
              </w:rPr>
            </w:pPr>
            <w:r w:rsidRPr="007528F2">
              <w:rPr>
                <w:b/>
                <w:bCs/>
                <w:lang w:val="it-IT"/>
              </w:rPr>
              <w:t xml:space="preserve">Legal </w:t>
            </w:r>
            <w:proofErr w:type="spellStart"/>
            <w:r w:rsidRPr="007528F2">
              <w:rPr>
                <w:b/>
                <w:bCs/>
                <w:lang w:val="it-IT"/>
              </w:rPr>
              <w:t>entity</w:t>
            </w:r>
            <w:proofErr w:type="spellEnd"/>
            <w:r w:rsidRPr="007528F2">
              <w:rPr>
                <w:b/>
                <w:bCs/>
                <w:lang w:val="it-IT"/>
              </w:rPr>
              <w:t xml:space="preserve"> </w:t>
            </w:r>
            <w:proofErr w:type="spellStart"/>
            <w:r w:rsidRPr="007528F2">
              <w:rPr>
                <w:b/>
                <w:bCs/>
                <w:lang w:val="it-IT"/>
              </w:rPr>
              <w:t>identifier</w:t>
            </w:r>
            <w:proofErr w:type="spellEnd"/>
            <w:r w:rsidRPr="007528F2">
              <w:rPr>
                <w:lang w:val="it-IT"/>
              </w:rPr>
              <w:t xml:space="preserve">: </w:t>
            </w:r>
          </w:p>
          <w:p w14:paraId="449F9D0D" w14:textId="20AB3445" w:rsidR="005E1D0B" w:rsidRPr="007528F2" w:rsidRDefault="00E115D1" w:rsidP="003F0A0C">
            <w:pPr>
              <w:ind w:right="-851"/>
              <w:rPr>
                <w:lang w:val="it-IT"/>
              </w:rPr>
            </w:pPr>
            <w:r w:rsidRPr="00E115D1">
              <w:rPr>
                <w:lang w:val="it-IT"/>
              </w:rPr>
              <w:t>213800AHCNYOPPST5889</w:t>
            </w:r>
          </w:p>
        </w:tc>
      </w:tr>
    </w:tbl>
    <w:p w14:paraId="6B980FDB" w14:textId="287CC04B" w:rsidR="00CB6D7C" w:rsidRPr="001720F2" w:rsidRDefault="00CB6D7C" w:rsidP="00DD5480">
      <w:pPr>
        <w:ind w:right="-851"/>
        <w:jc w:val="both"/>
        <w:rPr>
          <w:lang w:val="en-US"/>
        </w:rPr>
      </w:pPr>
    </w:p>
    <w:p w14:paraId="34564DEB" w14:textId="77777777" w:rsidR="00432E0E" w:rsidRPr="00C2259E" w:rsidRDefault="001A1570" w:rsidP="00432E0E">
      <w:pPr>
        <w:pStyle w:val="Titre2"/>
        <w:jc w:val="both"/>
        <w:rPr>
          <w:b/>
          <w:color w:val="auto"/>
          <w:lang w:val="en-US"/>
        </w:rPr>
      </w:pPr>
      <w:r w:rsidRPr="00C2259E">
        <w:rPr>
          <w:b/>
          <w:color w:val="auto"/>
          <w:lang w:val="en-US"/>
        </w:rPr>
        <w:t xml:space="preserve">No sustainable investment objective </w:t>
      </w:r>
    </w:p>
    <w:p w14:paraId="2BDB30F8" w14:textId="432FCF77" w:rsidR="001478C5" w:rsidRPr="00C2259E" w:rsidRDefault="001478C5" w:rsidP="001478C5">
      <w:pPr>
        <w:jc w:val="both"/>
        <w:rPr>
          <w:lang w:val="en-US"/>
        </w:rPr>
      </w:pPr>
    </w:p>
    <w:p w14:paraId="427CB2CF" w14:textId="4C0738EC" w:rsidR="00F03360" w:rsidRDefault="001A1570" w:rsidP="00F03360">
      <w:pPr>
        <w:jc w:val="both"/>
        <w:rPr>
          <w:lang w:val="en-US"/>
        </w:rPr>
      </w:pPr>
      <w:r w:rsidRPr="00395D8D">
        <w:rPr>
          <w:lang w:val="en-US"/>
        </w:rPr>
        <w:t>This financial product promotes environmental or social characteristics, but does not have as its objective sustainable investment</w:t>
      </w:r>
    </w:p>
    <w:p w14:paraId="4C1F8070" w14:textId="57FC059F" w:rsidR="00395D8D" w:rsidRPr="00395D8D" w:rsidRDefault="00395D8D" w:rsidP="00395D8D">
      <w:pPr>
        <w:tabs>
          <w:tab w:val="num" w:pos="1560"/>
        </w:tabs>
        <w:spacing w:after="0"/>
        <w:jc w:val="both"/>
        <w:rPr>
          <w:lang w:val="en-GB"/>
        </w:rPr>
      </w:pPr>
    </w:p>
    <w:p w14:paraId="41DAC569" w14:textId="27DFE8D4" w:rsidR="00395D8D" w:rsidRDefault="001A1570" w:rsidP="00395D8D">
      <w:pPr>
        <w:jc w:val="both"/>
        <w:rPr>
          <w:lang w:val="en-US"/>
        </w:rPr>
      </w:pPr>
      <w:r w:rsidRPr="00395D8D">
        <w:rPr>
          <w:lang w:val="en-US"/>
        </w:rPr>
        <w:t>This financial product commits to making sustainable investments.</w:t>
      </w:r>
    </w:p>
    <w:p w14:paraId="4C4E6F5D" w14:textId="77777777" w:rsidR="00103686" w:rsidRPr="00F03360" w:rsidRDefault="001A1570" w:rsidP="00103686">
      <w:pPr>
        <w:jc w:val="both"/>
        <w:rPr>
          <w:lang w:val="en-US"/>
        </w:rPr>
      </w:pPr>
      <w:r w:rsidRPr="00F03360">
        <w:rPr>
          <w:lang w:val="en-US"/>
        </w:rPr>
        <w:t>To ensure sustainable investments do no significant harm (‘DNSH’), Amundi utilizes two filters:</w:t>
      </w:r>
    </w:p>
    <w:p w14:paraId="78131D4C" w14:textId="77777777" w:rsidR="00103686" w:rsidRPr="005623A1" w:rsidRDefault="001A1570" w:rsidP="00103686">
      <w:pPr>
        <w:pStyle w:val="Paragraphedeliste"/>
        <w:numPr>
          <w:ilvl w:val="0"/>
          <w:numId w:val="6"/>
        </w:numPr>
        <w:jc w:val="both"/>
        <w:rPr>
          <w:lang w:val="en-US"/>
        </w:rPr>
      </w:pPr>
      <w:r w:rsidRPr="005623A1">
        <w:rPr>
          <w:lang w:val="en-US"/>
        </w:rPr>
        <w:t>The first DNSH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w:t>
      </w:r>
    </w:p>
    <w:p w14:paraId="1057D6A3" w14:textId="77777777" w:rsidR="00103686" w:rsidRPr="005623A1" w:rsidRDefault="001A1570" w:rsidP="00103686">
      <w:pPr>
        <w:pStyle w:val="Paragraphedeliste"/>
        <w:jc w:val="both"/>
        <w:rPr>
          <w:lang w:val="en-US"/>
        </w:rPr>
      </w:pPr>
      <w:r w:rsidRPr="005623A1">
        <w:rPr>
          <w:lang w:val="en-US"/>
        </w:rPr>
        <w:t>Amundi already considers specific Principal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14:paraId="14D1DF98" w14:textId="77777777" w:rsidR="00103686" w:rsidRPr="005623A1" w:rsidRDefault="001A1570" w:rsidP="00103686">
      <w:pPr>
        <w:pStyle w:val="Paragraphedeliste"/>
        <w:numPr>
          <w:ilvl w:val="0"/>
          <w:numId w:val="6"/>
        </w:numPr>
        <w:jc w:val="both"/>
        <w:rPr>
          <w:lang w:val="en-US"/>
        </w:rPr>
      </w:pPr>
      <w:r w:rsidRPr="005623A1">
        <w:rPr>
          <w:lang w:val="en-US"/>
        </w:rPr>
        <w:t xml:space="preserve">Beyond the specific Principal Adverse Impacts indicators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w:t>
      </w:r>
      <w:proofErr w:type="spellStart"/>
      <w:r w:rsidRPr="005623A1">
        <w:rPr>
          <w:lang w:val="en-US"/>
        </w:rPr>
        <w:t>E</w:t>
      </w:r>
      <w:proofErr w:type="spellEnd"/>
      <w:r w:rsidRPr="005623A1">
        <w:rPr>
          <w:lang w:val="en-US"/>
        </w:rPr>
        <w:t xml:space="preserve"> using Amundi’s ESG rating. </w:t>
      </w:r>
    </w:p>
    <w:p w14:paraId="527B7C6B" w14:textId="77777777" w:rsidR="00103686" w:rsidRDefault="00103686" w:rsidP="00103686">
      <w:pPr>
        <w:jc w:val="both"/>
        <w:rPr>
          <w:rFonts w:cstheme="minorHAnsi"/>
          <w:lang w:val="en-US"/>
        </w:rPr>
      </w:pPr>
    </w:p>
    <w:p w14:paraId="66610988" w14:textId="77777777" w:rsidR="00103686" w:rsidRPr="00F03360" w:rsidRDefault="001A1570" w:rsidP="00103686">
      <w:pPr>
        <w:jc w:val="both"/>
        <w:rPr>
          <w:rFonts w:cstheme="minorHAnsi"/>
          <w:lang w:val="en-US"/>
        </w:rPr>
      </w:pPr>
      <w:r w:rsidRPr="00F03360">
        <w:rPr>
          <w:rFonts w:cstheme="minorHAnsi"/>
          <w:lang w:val="en-US"/>
        </w:rPr>
        <w:t>The indicators for adverse impacts have been taken into account as detailed in the first do not significant harm (DNSH) filter</w:t>
      </w:r>
      <w:r>
        <w:rPr>
          <w:rFonts w:cstheme="minorHAnsi"/>
          <w:lang w:val="en-US"/>
        </w:rPr>
        <w:t>.</w:t>
      </w:r>
    </w:p>
    <w:p w14:paraId="33B79F7E" w14:textId="77777777" w:rsidR="00103686" w:rsidRPr="008F3945" w:rsidRDefault="001A1570" w:rsidP="00103686">
      <w:pPr>
        <w:jc w:val="both"/>
        <w:rPr>
          <w:rFonts w:cstheme="minorHAnsi"/>
          <w:lang w:val="en-US"/>
        </w:rPr>
      </w:pPr>
      <w:r w:rsidRPr="008F3945">
        <w:rPr>
          <w:rFonts w:cstheme="minorHAnsi"/>
          <w:lang w:val="en-US"/>
        </w:rPr>
        <w:t>The first DNSH filter relies on monitoring of mandatory Principal Adverse Impacts indicators in Annex 1, Table 1 of the RTS where robust data is available via the combination of following indicators and specific thresholds or rules:</w:t>
      </w:r>
    </w:p>
    <w:p w14:paraId="266E6CA2" w14:textId="77777777" w:rsidR="00103686" w:rsidRPr="00E93383" w:rsidRDefault="00103686" w:rsidP="00103686">
      <w:pPr>
        <w:pStyle w:val="Paragraphedeliste"/>
        <w:jc w:val="both"/>
        <w:rPr>
          <w:rFonts w:cstheme="minorHAnsi"/>
          <w:iCs/>
          <w:sz w:val="20"/>
          <w:szCs w:val="20"/>
          <w:lang w:val="en-US"/>
        </w:rPr>
      </w:pPr>
    </w:p>
    <w:p w14:paraId="754A3DBE" w14:textId="77777777" w:rsidR="00103686" w:rsidRPr="005623A1" w:rsidRDefault="001A1570" w:rsidP="00103686">
      <w:pPr>
        <w:pStyle w:val="Paragraphedeliste"/>
        <w:numPr>
          <w:ilvl w:val="0"/>
          <w:numId w:val="5"/>
        </w:numPr>
        <w:spacing w:after="0" w:line="240" w:lineRule="auto"/>
        <w:jc w:val="both"/>
        <w:rPr>
          <w:rFonts w:cstheme="minorHAnsi"/>
          <w:iCs/>
          <w:lang w:val="en-IE"/>
        </w:rPr>
      </w:pPr>
      <w:r w:rsidRPr="005623A1">
        <w:rPr>
          <w:rFonts w:cstheme="minorHAnsi"/>
          <w:iCs/>
          <w:lang w:val="en-IE"/>
        </w:rPr>
        <w:t>Have a CO</w:t>
      </w:r>
      <w:r w:rsidRPr="005623A1">
        <w:rPr>
          <w:rFonts w:cstheme="minorHAnsi"/>
          <w:iCs/>
          <w:vertAlign w:val="subscript"/>
          <w:lang w:val="en-IE"/>
        </w:rPr>
        <w:t>2</w:t>
      </w:r>
      <w:r w:rsidRPr="005623A1">
        <w:rPr>
          <w:rFonts w:cstheme="minorHAnsi"/>
          <w:iCs/>
          <w:lang w:val="en-IE"/>
        </w:rPr>
        <w:t xml:space="preserve"> intensity which does not belong to the last decile compared to other companies within its sector (only applies to high intensity sectors), and </w:t>
      </w:r>
    </w:p>
    <w:p w14:paraId="3C2F9963"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Have a Board of Directors’ diversity which does not belong to the last decile compared to other companies within its sector, and</w:t>
      </w:r>
    </w:p>
    <w:p w14:paraId="091C2C15"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work conditions and human rights and  </w:t>
      </w:r>
    </w:p>
    <w:p w14:paraId="18D3CF30"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biodiversity and pollution. </w:t>
      </w:r>
    </w:p>
    <w:p w14:paraId="10C028B3" w14:textId="77777777" w:rsidR="00103686" w:rsidRDefault="00103686" w:rsidP="00103686">
      <w:pPr>
        <w:jc w:val="both"/>
        <w:rPr>
          <w:lang w:val="en-US"/>
        </w:rPr>
      </w:pPr>
    </w:p>
    <w:p w14:paraId="36E620B6" w14:textId="77777777" w:rsidR="00103686" w:rsidRPr="00C2259E" w:rsidRDefault="001A1570" w:rsidP="00103686">
      <w:pPr>
        <w:jc w:val="both"/>
        <w:rPr>
          <w:lang w:val="en-US"/>
        </w:rPr>
      </w:pPr>
      <w:r w:rsidRPr="00F03360">
        <w:rPr>
          <w:lang w:val="en-US"/>
        </w:rPr>
        <w:t>Sustainable investments are aligned with the OECD Guidelines for Multinational Enterprises and the UN Guiding Principles and Human Rights. 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we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w:t>
      </w:r>
    </w:p>
    <w:p w14:paraId="53F3D565" w14:textId="77777777" w:rsidR="00103686" w:rsidRDefault="00103686" w:rsidP="00395D8D">
      <w:pPr>
        <w:jc w:val="both"/>
        <w:rPr>
          <w:lang w:val="en-US"/>
        </w:rPr>
      </w:pPr>
    </w:p>
    <w:p w14:paraId="61B94060" w14:textId="00D41ADA" w:rsidR="00395D8D" w:rsidRPr="00395D8D" w:rsidRDefault="001A1570" w:rsidP="00F03360">
      <w:pPr>
        <w:jc w:val="both"/>
        <w:rPr>
          <w:lang w:val="en-US"/>
        </w:rPr>
      </w:pPr>
      <w:r w:rsidRPr="00C2259E">
        <w:rPr>
          <w:lang w:val="en-US"/>
        </w:rPr>
        <w:t xml:space="preserve"> </w:t>
      </w:r>
    </w:p>
    <w:p w14:paraId="11506061" w14:textId="77777777" w:rsidR="002571B9" w:rsidRPr="00C2259E" w:rsidRDefault="002571B9" w:rsidP="001478C5">
      <w:pPr>
        <w:jc w:val="both"/>
        <w:rPr>
          <w:lang w:val="en-US"/>
        </w:rPr>
      </w:pPr>
    </w:p>
    <w:p w14:paraId="4E690063" w14:textId="77777777" w:rsidR="00432E0E" w:rsidRPr="00C2259E" w:rsidRDefault="001A1570" w:rsidP="00432E0E">
      <w:pPr>
        <w:pStyle w:val="Titre2"/>
        <w:jc w:val="both"/>
        <w:rPr>
          <w:b/>
          <w:color w:val="auto"/>
          <w:lang w:val="en-US"/>
        </w:rPr>
      </w:pPr>
      <w:r w:rsidRPr="00C2259E">
        <w:rPr>
          <w:b/>
          <w:color w:val="auto"/>
          <w:lang w:val="en-US"/>
        </w:rPr>
        <w:t xml:space="preserve">Environmental or social characteristics of the financial product </w:t>
      </w:r>
    </w:p>
    <w:p w14:paraId="60EE9D4A" w14:textId="77777777" w:rsidR="001478C5" w:rsidRPr="00C2259E" w:rsidRDefault="001478C5" w:rsidP="001478C5">
      <w:pPr>
        <w:jc w:val="both"/>
        <w:rPr>
          <w:lang w:val="en-US"/>
        </w:rPr>
      </w:pPr>
    </w:p>
    <w:p w14:paraId="34395387" w14:textId="4DEA89A2" w:rsidR="00BD0971" w:rsidRPr="00BD0971" w:rsidRDefault="00BD0971" w:rsidP="00BD0971">
      <w:pPr>
        <w:jc w:val="both"/>
        <w:rPr>
          <w:lang w:val="en-IE"/>
        </w:rPr>
      </w:pPr>
      <w:r w:rsidRPr="00BD0971">
        <w:rPr>
          <w:lang w:val="en-IE"/>
        </w:rPr>
        <w:t>The Sub-Fund promotes environmental and/or social characteristics through among others, replicating an</w:t>
      </w:r>
      <w:r>
        <w:rPr>
          <w:lang w:val="en-IE"/>
        </w:rPr>
        <w:t xml:space="preserve"> </w:t>
      </w:r>
      <w:r w:rsidRPr="00BD0971">
        <w:rPr>
          <w:lang w:val="en-IE"/>
        </w:rPr>
        <w:t>Index integrating an environmental, social and governance ("ESG") rating.</w:t>
      </w:r>
    </w:p>
    <w:p w14:paraId="1FA21CB5" w14:textId="07523618" w:rsidR="00BD0971" w:rsidRPr="00BD0971" w:rsidRDefault="00BD0971" w:rsidP="00BD0971">
      <w:pPr>
        <w:jc w:val="both"/>
        <w:rPr>
          <w:lang w:val="en-IE"/>
        </w:rPr>
      </w:pPr>
      <w:r w:rsidRPr="00BD0971">
        <w:rPr>
          <w:lang w:val="en-IE"/>
        </w:rPr>
        <w:t>The Index methodology is constructed using a "Best-in-class approach": best ranked companies are</w:t>
      </w:r>
      <w:r>
        <w:rPr>
          <w:lang w:val="en-IE"/>
        </w:rPr>
        <w:t xml:space="preserve"> </w:t>
      </w:r>
      <w:r w:rsidRPr="00BD0971">
        <w:rPr>
          <w:lang w:val="en-IE"/>
        </w:rPr>
        <w:t>selected to construct the Index.</w:t>
      </w:r>
    </w:p>
    <w:p w14:paraId="060BBC5E" w14:textId="47B15DDB" w:rsidR="00284163" w:rsidRDefault="00BD0971" w:rsidP="00BD0971">
      <w:pPr>
        <w:jc w:val="both"/>
        <w:rPr>
          <w:lang w:val="en-IE"/>
        </w:rPr>
      </w:pPr>
      <w:r w:rsidRPr="00BD0971">
        <w:rPr>
          <w:lang w:val="en-IE"/>
        </w:rPr>
        <w:t>"Best-in-class" is an approach where leading or best-performing investments are selected within a</w:t>
      </w:r>
      <w:r>
        <w:rPr>
          <w:lang w:val="en-IE"/>
        </w:rPr>
        <w:t xml:space="preserve"> </w:t>
      </w:r>
      <w:r w:rsidRPr="00BD0971">
        <w:rPr>
          <w:lang w:val="en-IE"/>
        </w:rPr>
        <w:t>universe, industry sector or class. Using such Best-in-class approach, the Index follows an extra-financial</w:t>
      </w:r>
      <w:r>
        <w:rPr>
          <w:lang w:val="en-IE"/>
        </w:rPr>
        <w:t xml:space="preserve"> </w:t>
      </w:r>
      <w:r w:rsidRPr="00BD0971">
        <w:rPr>
          <w:lang w:val="en-IE"/>
        </w:rPr>
        <w:t>approach significantly engaging that permits the reduction by at least 20% of the initial investment</w:t>
      </w:r>
      <w:r>
        <w:rPr>
          <w:lang w:val="en-IE"/>
        </w:rPr>
        <w:t xml:space="preserve"> </w:t>
      </w:r>
      <w:r w:rsidRPr="00BD0971">
        <w:rPr>
          <w:lang w:val="en-IE"/>
        </w:rPr>
        <w:t>universe (expressed in number of issuers).</w:t>
      </w:r>
    </w:p>
    <w:p w14:paraId="2E28A3B7" w14:textId="77777777" w:rsidR="00BD0971" w:rsidRPr="00A3536B" w:rsidRDefault="00BD0971" w:rsidP="00BD0971">
      <w:pPr>
        <w:jc w:val="both"/>
        <w:rPr>
          <w:lang w:val="en-IE"/>
        </w:rPr>
      </w:pPr>
    </w:p>
    <w:p w14:paraId="0A1DBFE8" w14:textId="77777777" w:rsidR="00432E0E" w:rsidRPr="00C2259E" w:rsidRDefault="001A1570" w:rsidP="00432E0E">
      <w:pPr>
        <w:pStyle w:val="Titre2"/>
        <w:jc w:val="both"/>
        <w:rPr>
          <w:b/>
          <w:color w:val="auto"/>
          <w:lang w:val="en-US"/>
        </w:rPr>
      </w:pPr>
      <w:r w:rsidRPr="00C2259E">
        <w:rPr>
          <w:b/>
          <w:color w:val="auto"/>
          <w:lang w:val="en-US"/>
        </w:rPr>
        <w:t>Investment strategy</w:t>
      </w:r>
    </w:p>
    <w:p w14:paraId="39903DC7" w14:textId="58CAFB3B" w:rsidR="001478C5" w:rsidRDefault="001478C5" w:rsidP="001478C5">
      <w:pPr>
        <w:jc w:val="both"/>
        <w:rPr>
          <w:lang w:val="en-US"/>
        </w:rPr>
      </w:pPr>
    </w:p>
    <w:p w14:paraId="2C11C1CD" w14:textId="50F92AFC" w:rsidR="006435A9" w:rsidRPr="006435A9" w:rsidRDefault="006435A9" w:rsidP="006435A9">
      <w:pPr>
        <w:jc w:val="both"/>
        <w:rPr>
          <w:lang w:val="en-US"/>
        </w:rPr>
      </w:pPr>
      <w:r w:rsidRPr="006435A9">
        <w:rPr>
          <w:lang w:val="en-US"/>
        </w:rPr>
        <w:t>The Sub-Fund tracks the performance of Bloomberg MSCI ESG US Corporate High Yield Select Index ("the</w:t>
      </w:r>
      <w:r>
        <w:rPr>
          <w:lang w:val="en-US"/>
        </w:rPr>
        <w:t xml:space="preserve"> </w:t>
      </w:r>
      <w:r w:rsidRPr="006435A9">
        <w:rPr>
          <w:lang w:val="en-US"/>
        </w:rPr>
        <w:t>Index"), and to minimize the tracking error between the net asset value of the sub-fund and the</w:t>
      </w:r>
      <w:r>
        <w:rPr>
          <w:lang w:val="en-US"/>
        </w:rPr>
        <w:t xml:space="preserve"> </w:t>
      </w:r>
      <w:r w:rsidRPr="006435A9">
        <w:rPr>
          <w:lang w:val="en-US"/>
        </w:rPr>
        <w:t>performance of the Index.</w:t>
      </w:r>
    </w:p>
    <w:p w14:paraId="7C755CB5" w14:textId="37FF10A4" w:rsidR="006435A9" w:rsidRDefault="006435A9" w:rsidP="006435A9">
      <w:pPr>
        <w:jc w:val="both"/>
        <w:rPr>
          <w:lang w:val="en-US"/>
        </w:rPr>
      </w:pPr>
      <w:r w:rsidRPr="006435A9">
        <w:rPr>
          <w:lang w:val="en-US"/>
        </w:rPr>
        <w:t>The Bloomberg MSCI ESG US Corporate High Yield Select Index tracks fixed-rate, high-yield corporate</w:t>
      </w:r>
      <w:r>
        <w:rPr>
          <w:lang w:val="en-US"/>
        </w:rPr>
        <w:t xml:space="preserve"> </w:t>
      </w:r>
      <w:r w:rsidRPr="006435A9">
        <w:rPr>
          <w:lang w:val="en-US"/>
        </w:rPr>
        <w:t>bond</w:t>
      </w:r>
      <w:r>
        <w:rPr>
          <w:lang w:val="en-US"/>
        </w:rPr>
        <w:t xml:space="preserve"> </w:t>
      </w:r>
      <w:r w:rsidRPr="006435A9">
        <w:rPr>
          <w:lang w:val="en-US"/>
        </w:rPr>
        <w:t>with at least USD300mn par amount outstanding. This index is based on the Bloomberg US Corporate High</w:t>
      </w:r>
      <w:r>
        <w:rPr>
          <w:lang w:val="en-US"/>
        </w:rPr>
        <w:t xml:space="preserve"> </w:t>
      </w:r>
      <w:r w:rsidRPr="006435A9">
        <w:rPr>
          <w:lang w:val="en-US"/>
        </w:rPr>
        <w:t>Yield Index (the "Parent Index") and applies additional criteria to include issuers with MSCI ESG Ratings of</w:t>
      </w:r>
      <w:r>
        <w:rPr>
          <w:lang w:val="en-US"/>
        </w:rPr>
        <w:t xml:space="preserve"> </w:t>
      </w:r>
      <w:r w:rsidRPr="006435A9">
        <w:rPr>
          <w:lang w:val="en-US"/>
        </w:rPr>
        <w:t>BBB or higher and negatively screens issuers that are involved in business activities that are restricted</w:t>
      </w:r>
      <w:r>
        <w:rPr>
          <w:lang w:val="en-US"/>
        </w:rPr>
        <w:t xml:space="preserve"> </w:t>
      </w:r>
      <w:r w:rsidRPr="006435A9">
        <w:rPr>
          <w:lang w:val="en-US"/>
        </w:rPr>
        <w:t>according to pre-defined Business Involvement Screens and issuers with a "Red" MSCI ESG Controversy</w:t>
      </w:r>
      <w:r>
        <w:rPr>
          <w:lang w:val="en-US"/>
        </w:rPr>
        <w:t xml:space="preserve"> </w:t>
      </w:r>
      <w:r w:rsidRPr="006435A9">
        <w:rPr>
          <w:lang w:val="en-US"/>
        </w:rPr>
        <w:t>Score.</w:t>
      </w:r>
    </w:p>
    <w:p w14:paraId="33C3A268" w14:textId="11679371" w:rsidR="006435A9" w:rsidRPr="006435A9" w:rsidRDefault="006435A9" w:rsidP="006435A9">
      <w:pPr>
        <w:jc w:val="both"/>
        <w:rPr>
          <w:lang w:val="en-US"/>
        </w:rPr>
      </w:pPr>
      <w:r w:rsidRPr="006435A9">
        <w:rPr>
          <w:lang w:val="en-US"/>
        </w:rPr>
        <w:t>This is a passively managed ETF. Its investment strategy is to replicate the Index while minimizing the</w:t>
      </w:r>
      <w:r>
        <w:rPr>
          <w:lang w:val="en-US"/>
        </w:rPr>
        <w:t xml:space="preserve"> </w:t>
      </w:r>
      <w:r w:rsidRPr="006435A9">
        <w:rPr>
          <w:lang w:val="en-US"/>
        </w:rPr>
        <w:t>related tracking error. Bloomberg MSCI ESG US Corporate High Yield Select Index (the "Index") is a</w:t>
      </w:r>
      <w:r>
        <w:rPr>
          <w:lang w:val="en-US"/>
        </w:rPr>
        <w:t xml:space="preserve"> </w:t>
      </w:r>
      <w:r w:rsidRPr="006435A9">
        <w:rPr>
          <w:lang w:val="en-US"/>
        </w:rPr>
        <w:t>bond index, calculated, maintained and published by Bloomberg Indices. It offers exposure to the USD</w:t>
      </w:r>
      <w:r>
        <w:rPr>
          <w:lang w:val="en-US"/>
        </w:rPr>
        <w:t xml:space="preserve"> </w:t>
      </w:r>
      <w:r w:rsidRPr="006435A9">
        <w:rPr>
          <w:lang w:val="en-US"/>
        </w:rPr>
        <w:lastRenderedPageBreak/>
        <w:t>denominated high yield corporate bond market of issuers meeting ESG requirements as defined</w:t>
      </w:r>
      <w:r>
        <w:rPr>
          <w:lang w:val="en-US"/>
        </w:rPr>
        <w:t xml:space="preserve"> </w:t>
      </w:r>
      <w:r w:rsidRPr="006435A9">
        <w:rPr>
          <w:lang w:val="en-US"/>
        </w:rPr>
        <w:t>below. Among the universe of USD denominated high yield bonds issued by companies in developed</w:t>
      </w:r>
      <w:r>
        <w:rPr>
          <w:lang w:val="en-US"/>
        </w:rPr>
        <w:t xml:space="preserve"> </w:t>
      </w:r>
      <w:r w:rsidRPr="006435A9">
        <w:rPr>
          <w:lang w:val="en-US"/>
        </w:rPr>
        <w:t>markets (the "Universe"), Bloomberg Indices selects bonds using rules on criteria such as but not</w:t>
      </w:r>
      <w:r>
        <w:rPr>
          <w:lang w:val="en-US"/>
        </w:rPr>
        <w:t xml:space="preserve"> </w:t>
      </w:r>
      <w:r w:rsidRPr="006435A9">
        <w:rPr>
          <w:lang w:val="en-US"/>
        </w:rPr>
        <w:t>limited to:</w:t>
      </w:r>
    </w:p>
    <w:p w14:paraId="733A2E92" w14:textId="77777777" w:rsidR="006435A9" w:rsidRPr="006435A9" w:rsidRDefault="006435A9" w:rsidP="006435A9">
      <w:pPr>
        <w:jc w:val="both"/>
        <w:rPr>
          <w:lang w:val="en-US"/>
        </w:rPr>
      </w:pPr>
      <w:r w:rsidRPr="006435A9">
        <w:rPr>
          <w:lang w:val="en-US"/>
        </w:rPr>
        <w:t>(</w:t>
      </w:r>
      <w:proofErr w:type="spellStart"/>
      <w:r w:rsidRPr="006435A9">
        <w:rPr>
          <w:lang w:val="en-US"/>
        </w:rPr>
        <w:t>i</w:t>
      </w:r>
      <w:proofErr w:type="spellEnd"/>
      <w:r w:rsidRPr="006435A9">
        <w:rPr>
          <w:lang w:val="en-US"/>
        </w:rPr>
        <w:t>) Minimum amount outstanding at bond level;</w:t>
      </w:r>
    </w:p>
    <w:p w14:paraId="1A19791F" w14:textId="77777777" w:rsidR="006435A9" w:rsidRPr="006435A9" w:rsidRDefault="006435A9" w:rsidP="006435A9">
      <w:pPr>
        <w:jc w:val="both"/>
        <w:rPr>
          <w:lang w:val="en-US"/>
        </w:rPr>
      </w:pPr>
      <w:r w:rsidRPr="006435A9">
        <w:rPr>
          <w:lang w:val="en-US"/>
        </w:rPr>
        <w:t>(ii) Minimum bond outstanding at issuer level;</w:t>
      </w:r>
    </w:p>
    <w:p w14:paraId="5E486B42" w14:textId="77777777" w:rsidR="006435A9" w:rsidRPr="006435A9" w:rsidRDefault="006435A9" w:rsidP="006435A9">
      <w:pPr>
        <w:jc w:val="both"/>
        <w:rPr>
          <w:lang w:val="en-US"/>
        </w:rPr>
      </w:pPr>
      <w:r w:rsidRPr="006435A9">
        <w:rPr>
          <w:lang w:val="en-US"/>
        </w:rPr>
        <w:t>(iii) Remaining time to maturity;</w:t>
      </w:r>
    </w:p>
    <w:p w14:paraId="11E3C079" w14:textId="6FA09A1B" w:rsidR="006435A9" w:rsidRPr="006435A9" w:rsidRDefault="006435A9" w:rsidP="006435A9">
      <w:pPr>
        <w:jc w:val="both"/>
        <w:rPr>
          <w:lang w:val="en-US"/>
        </w:rPr>
      </w:pPr>
      <w:r w:rsidRPr="006435A9">
        <w:rPr>
          <w:lang w:val="en-US"/>
        </w:rPr>
        <w:t>(iv) Issuers being attributed an "ESG Rating" (as defined by MSCI). MSCI ESG Rating provides an overall</w:t>
      </w:r>
      <w:r>
        <w:rPr>
          <w:lang w:val="en-US"/>
        </w:rPr>
        <w:t xml:space="preserve"> </w:t>
      </w:r>
      <w:r w:rsidRPr="006435A9">
        <w:rPr>
          <w:lang w:val="en-US"/>
        </w:rPr>
        <w:t>company ESG rating - a seven-point scale from 'AAA' to 'CCC'. MSCI ESG Rating methodology uses a</w:t>
      </w:r>
      <w:r>
        <w:rPr>
          <w:lang w:val="en-US"/>
        </w:rPr>
        <w:t xml:space="preserve"> </w:t>
      </w:r>
      <w:r w:rsidRPr="006435A9">
        <w:rPr>
          <w:lang w:val="en-US"/>
        </w:rPr>
        <w:t>rules-based methodology designed to measure a company's resilience to long-term, industry material</w:t>
      </w:r>
      <w:r>
        <w:rPr>
          <w:lang w:val="en-US"/>
        </w:rPr>
        <w:t xml:space="preserve"> </w:t>
      </w:r>
      <w:r w:rsidRPr="006435A9">
        <w:rPr>
          <w:lang w:val="en-US"/>
        </w:rPr>
        <w:t>ESG risks. It is based on extra-financial ESG key issues that focus on the intersection between a</w:t>
      </w:r>
      <w:r>
        <w:rPr>
          <w:lang w:val="en-US"/>
        </w:rPr>
        <w:t xml:space="preserve"> </w:t>
      </w:r>
      <w:r w:rsidRPr="006435A9">
        <w:rPr>
          <w:lang w:val="en-US"/>
        </w:rPr>
        <w:t>company's core business and the industry-specific issues that may create significant risks and</w:t>
      </w:r>
      <w:r>
        <w:rPr>
          <w:lang w:val="en-US"/>
        </w:rPr>
        <w:t xml:space="preserve"> </w:t>
      </w:r>
      <w:r w:rsidRPr="006435A9">
        <w:rPr>
          <w:lang w:val="en-US"/>
        </w:rPr>
        <w:t>opportunities for the company. The ESG key issues are weighted according to impact and time horizon</w:t>
      </w:r>
      <w:r>
        <w:rPr>
          <w:lang w:val="en-US"/>
        </w:rPr>
        <w:t xml:space="preserve"> </w:t>
      </w:r>
      <w:r w:rsidRPr="006435A9">
        <w:rPr>
          <w:lang w:val="en-US"/>
        </w:rPr>
        <w:t>of the risk or opportunity. The ESG key issues include for instance, but are not limited to, water stress,</w:t>
      </w:r>
      <w:r>
        <w:rPr>
          <w:lang w:val="en-US"/>
        </w:rPr>
        <w:t xml:space="preserve"> </w:t>
      </w:r>
      <w:r w:rsidRPr="006435A9">
        <w:rPr>
          <w:lang w:val="en-US"/>
        </w:rPr>
        <w:t>carbon emissions, labor management or business ethics. For the avoidance of doubt, companies with</w:t>
      </w:r>
      <w:r>
        <w:rPr>
          <w:lang w:val="en-US"/>
        </w:rPr>
        <w:t xml:space="preserve"> </w:t>
      </w:r>
      <w:r w:rsidRPr="006435A9">
        <w:rPr>
          <w:lang w:val="en-US"/>
        </w:rPr>
        <w:t>no ESG Ratings are excluded;</w:t>
      </w:r>
    </w:p>
    <w:p w14:paraId="77DE57CF" w14:textId="14C49B76" w:rsidR="006435A9" w:rsidRPr="006435A9" w:rsidRDefault="006435A9" w:rsidP="006435A9">
      <w:pPr>
        <w:jc w:val="both"/>
        <w:rPr>
          <w:lang w:val="en-US"/>
        </w:rPr>
      </w:pPr>
      <w:r w:rsidRPr="006435A9">
        <w:rPr>
          <w:lang w:val="en-US"/>
        </w:rPr>
        <w:t>The application of eligibility criteria (</w:t>
      </w:r>
      <w:proofErr w:type="spellStart"/>
      <w:r w:rsidRPr="006435A9">
        <w:rPr>
          <w:lang w:val="en-US"/>
        </w:rPr>
        <w:t>i</w:t>
      </w:r>
      <w:proofErr w:type="spellEnd"/>
      <w:r w:rsidRPr="006435A9">
        <w:rPr>
          <w:lang w:val="en-US"/>
        </w:rPr>
        <w:t>) to (iv) leads to a narrowed investment universe (the "Eligible</w:t>
      </w:r>
      <w:r>
        <w:rPr>
          <w:lang w:val="en-US"/>
        </w:rPr>
        <w:t xml:space="preserve"> </w:t>
      </w:r>
      <w:r w:rsidRPr="006435A9">
        <w:rPr>
          <w:lang w:val="en-US"/>
        </w:rPr>
        <w:t>Universe").</w:t>
      </w:r>
    </w:p>
    <w:p w14:paraId="27DBA4F9" w14:textId="77777777" w:rsidR="006435A9" w:rsidRPr="006435A9" w:rsidRDefault="006435A9" w:rsidP="006435A9">
      <w:pPr>
        <w:jc w:val="both"/>
        <w:rPr>
          <w:lang w:val="en-US"/>
        </w:rPr>
      </w:pPr>
      <w:r w:rsidRPr="006435A9">
        <w:rPr>
          <w:lang w:val="en-US"/>
        </w:rPr>
        <w:t>(v) The Eligible Universe is screened to exclude issuers:</w:t>
      </w:r>
    </w:p>
    <w:p w14:paraId="04DBF1FC" w14:textId="0B40B7F6" w:rsidR="006435A9" w:rsidRPr="006435A9" w:rsidRDefault="006435A9" w:rsidP="006435A9">
      <w:pPr>
        <w:jc w:val="both"/>
        <w:rPr>
          <w:lang w:val="en-US"/>
        </w:rPr>
      </w:pPr>
      <w:r w:rsidRPr="006435A9">
        <w:rPr>
          <w:lang w:val="en-US"/>
        </w:rPr>
        <w:t>- Involved in activities such as Alcohol, Tobacco, Gambling, Adult Entertainment, Genetically Modified</w:t>
      </w:r>
      <w:r>
        <w:rPr>
          <w:lang w:val="en-US"/>
        </w:rPr>
        <w:t xml:space="preserve"> </w:t>
      </w:r>
      <w:r w:rsidRPr="006435A9">
        <w:rPr>
          <w:lang w:val="en-US"/>
        </w:rPr>
        <w:t>organisms (GMO), Nuclear Power, Civilian Firearms, Military Weapons (as per the standard Bloomberg</w:t>
      </w:r>
      <w:r>
        <w:rPr>
          <w:lang w:val="en-US"/>
        </w:rPr>
        <w:t xml:space="preserve"> </w:t>
      </w:r>
      <w:r w:rsidRPr="006435A9">
        <w:rPr>
          <w:lang w:val="en-US"/>
        </w:rPr>
        <w:t>MSCI SRI screen), Thermal Coal, Generation of Thermal Coal, or Unconventional Oil and Gas;</w:t>
      </w:r>
    </w:p>
    <w:p w14:paraId="04DF054D" w14:textId="77777777" w:rsidR="006435A9" w:rsidRPr="006435A9" w:rsidRDefault="006435A9" w:rsidP="006435A9">
      <w:pPr>
        <w:jc w:val="both"/>
        <w:rPr>
          <w:lang w:val="en-US"/>
        </w:rPr>
      </w:pPr>
      <w:r w:rsidRPr="006435A9">
        <w:rPr>
          <w:lang w:val="en-US"/>
        </w:rPr>
        <w:t>- Involved in a major ESG controversy (based on the MSCI ESG Controversy score);</w:t>
      </w:r>
    </w:p>
    <w:p w14:paraId="7ADB09A6" w14:textId="77777777" w:rsidR="006435A9" w:rsidRPr="006435A9" w:rsidRDefault="006435A9" w:rsidP="006435A9">
      <w:pPr>
        <w:jc w:val="both"/>
        <w:rPr>
          <w:lang w:val="en-US"/>
        </w:rPr>
      </w:pPr>
      <w:r w:rsidRPr="006435A9">
        <w:rPr>
          <w:lang w:val="en-US"/>
        </w:rPr>
        <w:t>- With an "ESG Rating" lower than BBB.</w:t>
      </w:r>
    </w:p>
    <w:p w14:paraId="14325BE7" w14:textId="0200931B" w:rsidR="006435A9" w:rsidRPr="006435A9" w:rsidRDefault="006435A9" w:rsidP="006435A9">
      <w:pPr>
        <w:jc w:val="both"/>
        <w:rPr>
          <w:lang w:val="en-US"/>
        </w:rPr>
      </w:pPr>
      <w:r w:rsidRPr="006435A9">
        <w:rPr>
          <w:lang w:val="en-US"/>
        </w:rPr>
        <w:t>The Index uses a "Best-in-class" approach, i.e., an approach where leading or best-performing</w:t>
      </w:r>
      <w:r>
        <w:rPr>
          <w:lang w:val="en-US"/>
        </w:rPr>
        <w:t xml:space="preserve"> </w:t>
      </w:r>
      <w:r w:rsidRPr="006435A9">
        <w:rPr>
          <w:lang w:val="en-US"/>
        </w:rPr>
        <w:t>investments are selected within a universe, industry sector or class. Using such Best-in-class approach,</w:t>
      </w:r>
      <w:r>
        <w:rPr>
          <w:lang w:val="en-US"/>
        </w:rPr>
        <w:t xml:space="preserve"> </w:t>
      </w:r>
      <w:r w:rsidRPr="006435A9">
        <w:rPr>
          <w:lang w:val="en-US"/>
        </w:rPr>
        <w:t>the Sub-Fund follows an extra-financial approach significantly engaging that permits the reduction by</w:t>
      </w:r>
      <w:r>
        <w:rPr>
          <w:lang w:val="en-US"/>
        </w:rPr>
        <w:t xml:space="preserve"> </w:t>
      </w:r>
      <w:r w:rsidRPr="006435A9">
        <w:rPr>
          <w:lang w:val="en-US"/>
        </w:rPr>
        <w:t>at least 20% of the Eligible Universe (expressed in number of issuers).</w:t>
      </w:r>
    </w:p>
    <w:p w14:paraId="71525A1B" w14:textId="193C67CA" w:rsidR="006435A9" w:rsidRPr="006435A9" w:rsidRDefault="006435A9" w:rsidP="006435A9">
      <w:pPr>
        <w:jc w:val="both"/>
        <w:rPr>
          <w:lang w:val="en-US"/>
        </w:rPr>
      </w:pPr>
      <w:r w:rsidRPr="006435A9">
        <w:rPr>
          <w:lang w:val="en-US"/>
        </w:rPr>
        <w:t xml:space="preserve">The Product strategy is also relying on systematic exclusions policies (normative and </w:t>
      </w:r>
      <w:proofErr w:type="spellStart"/>
      <w:r w:rsidRPr="006435A9">
        <w:rPr>
          <w:lang w:val="en-US"/>
        </w:rPr>
        <w:t>sectorials</w:t>
      </w:r>
      <w:proofErr w:type="spellEnd"/>
      <w:r w:rsidRPr="006435A9">
        <w:rPr>
          <w:lang w:val="en-US"/>
        </w:rPr>
        <w:t>) as</w:t>
      </w:r>
      <w:r>
        <w:rPr>
          <w:lang w:val="en-US"/>
        </w:rPr>
        <w:t xml:space="preserve"> </w:t>
      </w:r>
      <w:r w:rsidRPr="006435A9">
        <w:rPr>
          <w:lang w:val="en-US"/>
        </w:rPr>
        <w:t>further described in Amundi Responsible Investment policy.</w:t>
      </w:r>
    </w:p>
    <w:p w14:paraId="3A50768E" w14:textId="14B367F2" w:rsidR="006435A9" w:rsidRDefault="006435A9" w:rsidP="006435A9">
      <w:pPr>
        <w:jc w:val="both"/>
        <w:rPr>
          <w:lang w:val="en-US"/>
        </w:rPr>
      </w:pPr>
      <w:r w:rsidRPr="006435A9">
        <w:rPr>
          <w:lang w:val="en-US"/>
        </w:rPr>
        <w:t>The Index applies exclusions to companies involved in activities considered non-aligned with the Paris</w:t>
      </w:r>
      <w:r>
        <w:rPr>
          <w:lang w:val="en-US"/>
        </w:rPr>
        <w:t xml:space="preserve"> </w:t>
      </w:r>
      <w:r w:rsidRPr="006435A9">
        <w:rPr>
          <w:lang w:val="en-US"/>
        </w:rPr>
        <w:t xml:space="preserve">Climate Agreement (coal extraction, oil, </w:t>
      </w:r>
      <w:proofErr w:type="spellStart"/>
      <w:r w:rsidRPr="006435A9">
        <w:rPr>
          <w:lang w:val="en-US"/>
        </w:rPr>
        <w:t>etc</w:t>
      </w:r>
      <w:proofErr w:type="spellEnd"/>
      <w:r w:rsidRPr="006435A9">
        <w:rPr>
          <w:lang w:val="en-US"/>
        </w:rPr>
        <w:t>). Those exclusions are provided for in Art. 12 (1) (a)-(g) of</w:t>
      </w:r>
      <w:r w:rsidRPr="006435A9">
        <w:rPr>
          <w:lang w:val="en-US"/>
        </w:rPr>
        <w:t xml:space="preserve"> </w:t>
      </w:r>
      <w:r w:rsidRPr="006435A9">
        <w:rPr>
          <w:lang w:val="en-US"/>
        </w:rPr>
        <w:t>the Commission Delegated Regulation (EU) 2020/1818 of 17 July 2020 supplementing Regulation (EU)</w:t>
      </w:r>
      <w:r>
        <w:rPr>
          <w:lang w:val="en-US"/>
        </w:rPr>
        <w:t xml:space="preserve"> </w:t>
      </w:r>
      <w:r w:rsidRPr="006435A9">
        <w:rPr>
          <w:lang w:val="en-US"/>
        </w:rPr>
        <w:t>2016/1011 of the European Parliament and of the Council as regards minimum standards for EU</w:t>
      </w:r>
      <w:r>
        <w:rPr>
          <w:lang w:val="en-US"/>
        </w:rPr>
        <w:t xml:space="preserve"> </w:t>
      </w:r>
      <w:r w:rsidRPr="006435A9">
        <w:rPr>
          <w:lang w:val="en-US"/>
        </w:rPr>
        <w:t>Climate Transition Benchmarks and EU Paris-aligned Benchmarks. For further information please refer</w:t>
      </w:r>
      <w:r>
        <w:rPr>
          <w:lang w:val="en-US"/>
        </w:rPr>
        <w:t xml:space="preserve"> </w:t>
      </w:r>
      <w:r w:rsidRPr="006435A9">
        <w:rPr>
          <w:lang w:val="en-US"/>
        </w:rPr>
        <w:t>to the "Guidelines on funds' names using ESG or sustainability-related terms" section of the</w:t>
      </w:r>
      <w:r>
        <w:rPr>
          <w:lang w:val="en-US"/>
        </w:rPr>
        <w:t xml:space="preserve"> </w:t>
      </w:r>
      <w:r w:rsidRPr="006435A9">
        <w:rPr>
          <w:lang w:val="en-US"/>
        </w:rPr>
        <w:t>Prospectus.</w:t>
      </w:r>
    </w:p>
    <w:p w14:paraId="56D7B633" w14:textId="5D0AA554" w:rsidR="00F03360" w:rsidRPr="00F03360" w:rsidRDefault="001A1570" w:rsidP="00175C69">
      <w:pPr>
        <w:jc w:val="both"/>
        <w:rPr>
          <w:lang w:val="en-US"/>
        </w:rPr>
      </w:pPr>
      <w:r w:rsidRPr="00F03360">
        <w:rPr>
          <w:lang w:val="en-US"/>
        </w:rPr>
        <w:t xml:space="preserve">To assess good governance practices of the investee companies, we rely on Amundi ESG scoring methodology.  Amundi’s ESG scoring is based on a proprietary ESG analysis framework, which accounts for 38 general and sector-specific criteria, including governance criteria. In the Governance dimension, we assess an issuer’s ability to ensure an effective corporate governance framework that guarantees it will meet its long-term objectives (e.g., guaranteeing the issuer’s value over the long term). The </w:t>
      </w:r>
      <w:r w:rsidRPr="00F03360">
        <w:rPr>
          <w:lang w:val="en-US"/>
        </w:rPr>
        <w:lastRenderedPageBreak/>
        <w:t>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w:t>
      </w:r>
    </w:p>
    <w:p w14:paraId="36D73581" w14:textId="083CB01E" w:rsidR="00F03360" w:rsidRPr="00F03360" w:rsidRDefault="001A1570" w:rsidP="00F03360">
      <w:pPr>
        <w:jc w:val="both"/>
        <w:rPr>
          <w:lang w:val="en-US"/>
        </w:rPr>
      </w:pPr>
      <w:r w:rsidRPr="00F03360">
        <w:rPr>
          <w:lang w:val="en-US"/>
        </w:rPr>
        <w:t>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r>
    </w:p>
    <w:p w14:paraId="50B13BBB" w14:textId="792C5819" w:rsidR="003A5B9D" w:rsidRPr="00C2259E" w:rsidRDefault="001A1570" w:rsidP="00F03360">
      <w:pPr>
        <w:jc w:val="both"/>
        <w:rPr>
          <w:lang w:val="en-US"/>
        </w:rPr>
      </w:pPr>
      <w:r w:rsidRPr="00F03360">
        <w:rPr>
          <w:lang w:val="en-US"/>
        </w:rPr>
        <w:t>Amundi Stewardship Policy (engagement and voting) related to governance complements this approach.</w:t>
      </w:r>
    </w:p>
    <w:p w14:paraId="6FECAC95" w14:textId="77777777" w:rsidR="002571B9" w:rsidRPr="00C2259E" w:rsidRDefault="002571B9" w:rsidP="001478C5">
      <w:pPr>
        <w:jc w:val="both"/>
        <w:rPr>
          <w:lang w:val="en-US"/>
        </w:rPr>
      </w:pPr>
    </w:p>
    <w:p w14:paraId="49690FE1" w14:textId="77777777" w:rsidR="00432E0E" w:rsidRPr="00C2259E" w:rsidRDefault="001A1570" w:rsidP="00432E0E">
      <w:pPr>
        <w:pStyle w:val="Titre2"/>
        <w:jc w:val="both"/>
        <w:rPr>
          <w:b/>
          <w:color w:val="auto"/>
          <w:lang w:val="en-US"/>
        </w:rPr>
      </w:pPr>
      <w:r w:rsidRPr="00C2259E">
        <w:rPr>
          <w:b/>
          <w:color w:val="auto"/>
          <w:lang w:val="en-US"/>
        </w:rPr>
        <w:t xml:space="preserve">Proportion of investments </w:t>
      </w:r>
    </w:p>
    <w:p w14:paraId="3A37AA28" w14:textId="27A747D4" w:rsidR="001478C5" w:rsidRPr="00C2259E" w:rsidRDefault="001478C5" w:rsidP="001478C5">
      <w:pPr>
        <w:jc w:val="both"/>
        <w:rPr>
          <w:lang w:val="en-US"/>
        </w:rPr>
      </w:pPr>
    </w:p>
    <w:p w14:paraId="47247EE0" w14:textId="32652350" w:rsidR="005735DA" w:rsidRPr="005735DA" w:rsidRDefault="005735DA" w:rsidP="005735DA">
      <w:pPr>
        <w:jc w:val="both"/>
        <w:rPr>
          <w:lang w:val="en-US"/>
        </w:rPr>
      </w:pPr>
      <w:r w:rsidRPr="005735DA">
        <w:rPr>
          <w:lang w:val="en-US"/>
        </w:rPr>
        <w:t>At least 90% of the Sub-Fund's securities and instruments will meet the promoted environmental or social</w:t>
      </w:r>
      <w:r>
        <w:rPr>
          <w:lang w:val="en-US"/>
        </w:rPr>
        <w:t xml:space="preserve"> </w:t>
      </w:r>
      <w:r w:rsidRPr="005735DA">
        <w:rPr>
          <w:lang w:val="en-US"/>
        </w:rPr>
        <w:t>characteristics in accordance with the binding elements of the Index methodology. Furthermore, the</w:t>
      </w:r>
      <w:r>
        <w:rPr>
          <w:lang w:val="en-US"/>
        </w:rPr>
        <w:t xml:space="preserve"> </w:t>
      </w:r>
      <w:r w:rsidRPr="005735DA">
        <w:rPr>
          <w:lang w:val="en-US"/>
        </w:rPr>
        <w:t>Sub-Fund commits to have a minimum of 1% of sustainable investments as per the below chart.</w:t>
      </w:r>
      <w:r>
        <w:rPr>
          <w:lang w:val="en-US"/>
        </w:rPr>
        <w:t xml:space="preserve"> </w:t>
      </w:r>
      <w:r w:rsidRPr="005735DA">
        <w:rPr>
          <w:lang w:val="en-US"/>
        </w:rPr>
        <w:t>Investments aligned with other E/S characteristics (#1B) will represent the difference between the</w:t>
      </w:r>
      <w:r>
        <w:rPr>
          <w:lang w:val="en-US"/>
        </w:rPr>
        <w:t xml:space="preserve"> </w:t>
      </w:r>
      <w:r w:rsidRPr="005735DA">
        <w:rPr>
          <w:lang w:val="en-US"/>
        </w:rPr>
        <w:t>actual</w:t>
      </w:r>
      <w:r>
        <w:rPr>
          <w:lang w:val="en-US"/>
        </w:rPr>
        <w:t xml:space="preserve"> </w:t>
      </w:r>
      <w:r w:rsidRPr="005735DA">
        <w:rPr>
          <w:lang w:val="en-US"/>
        </w:rPr>
        <w:t>proportion of investments aligned with environmental or social characteristics (#1) and the actual</w:t>
      </w:r>
      <w:r>
        <w:rPr>
          <w:lang w:val="en-US"/>
        </w:rPr>
        <w:t xml:space="preserve"> </w:t>
      </w:r>
      <w:r w:rsidRPr="005735DA">
        <w:rPr>
          <w:lang w:val="en-US"/>
        </w:rPr>
        <w:t>proportion of sustainable investments (#1A).</w:t>
      </w:r>
    </w:p>
    <w:p w14:paraId="0D00D34A" w14:textId="79B3559F" w:rsidR="00EC73C4" w:rsidRDefault="005735DA" w:rsidP="005735DA">
      <w:pPr>
        <w:jc w:val="both"/>
        <w:rPr>
          <w:lang w:val="en-US"/>
        </w:rPr>
      </w:pPr>
      <w:r w:rsidRPr="005735DA">
        <w:rPr>
          <w:lang w:val="en-US"/>
        </w:rPr>
        <w:t>The planned proportion of other environmental investment represents a minimum of 1% (</w:t>
      </w:r>
      <w:proofErr w:type="spellStart"/>
      <w:r w:rsidRPr="005735DA">
        <w:rPr>
          <w:lang w:val="en-US"/>
        </w:rPr>
        <w:t>i</w:t>
      </w:r>
      <w:proofErr w:type="spellEnd"/>
      <w:r w:rsidRPr="005735DA">
        <w:rPr>
          <w:lang w:val="en-US"/>
        </w:rPr>
        <w:t>) and may</w:t>
      </w:r>
      <w:r>
        <w:rPr>
          <w:lang w:val="en-US"/>
        </w:rPr>
        <w:t xml:space="preserve"> </w:t>
      </w:r>
      <w:r w:rsidRPr="005735DA">
        <w:rPr>
          <w:lang w:val="en-US"/>
        </w:rPr>
        <w:t>change as the actual proportions of Taxonomy-aligned and/or Social investments increase.</w:t>
      </w:r>
    </w:p>
    <w:p w14:paraId="04F57F9D" w14:textId="77777777" w:rsidR="005735DA" w:rsidRPr="00C2259E" w:rsidRDefault="005735DA" w:rsidP="005735DA">
      <w:pPr>
        <w:jc w:val="both"/>
        <w:rPr>
          <w:lang w:val="en-US"/>
        </w:rPr>
      </w:pPr>
    </w:p>
    <w:p w14:paraId="7204154B" w14:textId="0C772728" w:rsidR="001478C5" w:rsidRPr="00C2259E" w:rsidRDefault="001A1570" w:rsidP="00C2259E">
      <w:pPr>
        <w:pStyle w:val="Titre2"/>
        <w:jc w:val="both"/>
        <w:rPr>
          <w:b/>
          <w:color w:val="auto"/>
          <w:lang w:val="en-US"/>
        </w:rPr>
      </w:pPr>
      <w:r w:rsidRPr="00C2259E">
        <w:rPr>
          <w:b/>
          <w:color w:val="auto"/>
          <w:lang w:val="en-US"/>
        </w:rPr>
        <w:t>Monitoring of environmental or social characteristics</w:t>
      </w:r>
    </w:p>
    <w:p w14:paraId="095433B0" w14:textId="77777777" w:rsidR="002571B9" w:rsidRPr="00C2259E" w:rsidRDefault="002571B9" w:rsidP="001478C5">
      <w:pPr>
        <w:jc w:val="both"/>
        <w:rPr>
          <w:lang w:val="en-US"/>
        </w:rPr>
      </w:pPr>
    </w:p>
    <w:p w14:paraId="036F8894" w14:textId="285E96E2" w:rsidR="00F03360" w:rsidRPr="00F03360" w:rsidRDefault="001A1570" w:rsidP="00F03360">
      <w:pPr>
        <w:jc w:val="both"/>
        <w:rPr>
          <w:lang w:val="en-US"/>
        </w:rPr>
      </w:pPr>
      <w:r w:rsidRPr="00F03360">
        <w:rPr>
          <w:lang w:val="en-US"/>
        </w:rPr>
        <w:t xml:space="preserve">All ESG data, either externally or internally processed, is </w:t>
      </w:r>
      <w:proofErr w:type="spellStart"/>
      <w:r w:rsidRPr="00F03360">
        <w:rPr>
          <w:lang w:val="en-US"/>
        </w:rPr>
        <w:t>centralised</w:t>
      </w:r>
      <w:proofErr w:type="spellEnd"/>
      <w:r w:rsidRPr="00F03360">
        <w:rPr>
          <w:lang w:val="en-US"/>
        </w:rPr>
        <w:t xml:space="preserve">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r>
    </w:p>
    <w:p w14:paraId="68D74904" w14:textId="77777777" w:rsidR="00F03360" w:rsidRPr="00F03360" w:rsidRDefault="001A1570" w:rsidP="00F03360">
      <w:pPr>
        <w:jc w:val="both"/>
        <w:rPr>
          <w:lang w:val="en-US"/>
        </w:rPr>
      </w:pPr>
      <w:r w:rsidRPr="00F03360">
        <w:rPr>
          <w:lang w:val="en-US"/>
        </w:rPr>
        <w:t>Sustainability indicators used within Amundi rely on proprietary methodologies. These indicators are continuously made available in the portfolio management system allowing the portfolio managers to assess the impact of their investment decisions.</w:t>
      </w:r>
    </w:p>
    <w:p w14:paraId="1B2ABE81" w14:textId="26190196" w:rsidR="003A5B9D" w:rsidRPr="00C2259E" w:rsidRDefault="001A1570" w:rsidP="00F03360">
      <w:pPr>
        <w:jc w:val="both"/>
        <w:rPr>
          <w:lang w:val="en-US"/>
        </w:rPr>
      </w:pPr>
      <w:r w:rsidRPr="00F03360">
        <w:rPr>
          <w:lang w:val="en-US"/>
        </w:rPr>
        <w:t>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14:paraId="4CF81C4B" w14:textId="77777777" w:rsidR="002571B9" w:rsidRPr="00C2259E" w:rsidRDefault="002571B9" w:rsidP="001478C5">
      <w:pPr>
        <w:jc w:val="both"/>
        <w:rPr>
          <w:lang w:val="en-US"/>
        </w:rPr>
      </w:pPr>
    </w:p>
    <w:p w14:paraId="3DF7BFE2" w14:textId="77777777" w:rsidR="00432E0E" w:rsidRPr="00C2259E" w:rsidRDefault="001A1570" w:rsidP="00432E0E">
      <w:pPr>
        <w:pStyle w:val="Titre2"/>
        <w:jc w:val="both"/>
        <w:rPr>
          <w:b/>
          <w:color w:val="auto"/>
          <w:lang w:val="en-US"/>
        </w:rPr>
      </w:pPr>
      <w:r w:rsidRPr="00C2259E">
        <w:rPr>
          <w:b/>
          <w:color w:val="auto"/>
          <w:lang w:val="en-US"/>
        </w:rPr>
        <w:lastRenderedPageBreak/>
        <w:t>Methodologies</w:t>
      </w:r>
    </w:p>
    <w:p w14:paraId="3B98F03A" w14:textId="77777777" w:rsidR="001478C5" w:rsidRPr="00C2259E" w:rsidRDefault="001478C5" w:rsidP="001478C5">
      <w:pPr>
        <w:jc w:val="both"/>
        <w:rPr>
          <w:lang w:val="en-US"/>
        </w:rPr>
      </w:pPr>
    </w:p>
    <w:p w14:paraId="0315E896" w14:textId="77777777" w:rsidR="00E93383" w:rsidRDefault="001A1570" w:rsidP="00F03360">
      <w:pPr>
        <w:jc w:val="both"/>
        <w:rPr>
          <w:lang w:val="en-US"/>
        </w:rPr>
      </w:pPr>
      <w:r w:rsidRPr="00F03360">
        <w:rPr>
          <w:lang w:val="en-US"/>
        </w:rPr>
        <w:t>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r>
    </w:p>
    <w:p w14:paraId="4BCE88B5" w14:textId="265A0F27"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Environmental dimension</w:t>
      </w:r>
      <w:r w:rsidRPr="00E93383">
        <w:rPr>
          <w:rFonts w:cstheme="minorHAnsi"/>
          <w:iCs/>
          <w:lang w:val="en-IE"/>
        </w:rPr>
        <w:t xml:space="preserve">: this examines issuers’ ability to control their direct and indirect environmental impact, by limiting their energy consumption, reducing their greenhouse emissions, fighting resource depletion and protecting biodiversity; </w:t>
      </w:r>
    </w:p>
    <w:p w14:paraId="01161A1C" w14:textId="6804151F"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Social dimension</w:t>
      </w:r>
      <w:r w:rsidRPr="00E93383">
        <w:rPr>
          <w:rFonts w:cstheme="minorHAnsi"/>
          <w:iCs/>
          <w:lang w:val="en-IE"/>
        </w:rPr>
        <w:t>: these measures how an issuer operates on two distinct concepts: the issuer’s strategy to develop its human capital and the respect of the human rights in general;</w:t>
      </w:r>
    </w:p>
    <w:p w14:paraId="05B35762" w14:textId="789F19B9"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Governance dimension</w:t>
      </w:r>
      <w:r w:rsidRPr="00E93383">
        <w:rPr>
          <w:rFonts w:cstheme="minorHAnsi"/>
          <w:iCs/>
          <w:lang w:val="en-IE"/>
        </w:rPr>
        <w:t xml:space="preserve">: This assesses capability of the issuer to ensure the basis for an effective corporate governance framework and generate value over the long-term. </w:t>
      </w:r>
    </w:p>
    <w:p w14:paraId="0AAAD8FA" w14:textId="77777777" w:rsidR="00E93383" w:rsidRPr="00E93383" w:rsidRDefault="00E93383" w:rsidP="00E93383">
      <w:pPr>
        <w:pStyle w:val="Paragraphedeliste"/>
        <w:spacing w:after="0" w:line="240" w:lineRule="auto"/>
        <w:jc w:val="both"/>
        <w:rPr>
          <w:rFonts w:cstheme="minorHAnsi"/>
          <w:i/>
          <w:lang w:val="en-IE"/>
        </w:rPr>
      </w:pPr>
    </w:p>
    <w:p w14:paraId="65418A25" w14:textId="4C2C0B6A" w:rsidR="00432E0E" w:rsidRPr="00C2259E" w:rsidRDefault="001A1570" w:rsidP="00F03360">
      <w:pPr>
        <w:jc w:val="both"/>
        <w:rPr>
          <w:lang w:val="en-US"/>
        </w:rPr>
      </w:pPr>
      <w:r w:rsidRPr="00F03360">
        <w:rPr>
          <w:lang w:val="en-US"/>
        </w:rPr>
        <w:t>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r>
    </w:p>
    <w:p w14:paraId="07C55CDF" w14:textId="77777777" w:rsidR="002571B9" w:rsidRPr="00C2259E" w:rsidRDefault="002571B9" w:rsidP="001478C5">
      <w:pPr>
        <w:jc w:val="both"/>
        <w:rPr>
          <w:lang w:val="en-US"/>
        </w:rPr>
      </w:pPr>
    </w:p>
    <w:p w14:paraId="506F6D63" w14:textId="02D0B5D0" w:rsidR="001478C5" w:rsidRPr="00C2259E" w:rsidRDefault="001A1570" w:rsidP="00432E0E">
      <w:pPr>
        <w:pStyle w:val="Titre2"/>
        <w:jc w:val="both"/>
        <w:rPr>
          <w:b/>
          <w:color w:val="auto"/>
          <w:lang w:val="en-US"/>
        </w:rPr>
      </w:pPr>
      <w:r w:rsidRPr="00C2259E">
        <w:rPr>
          <w:b/>
          <w:color w:val="auto"/>
          <w:lang w:val="en-US"/>
        </w:rPr>
        <w:t>Data sources and processing</w:t>
      </w:r>
    </w:p>
    <w:p w14:paraId="1BDB94F4" w14:textId="77777777" w:rsidR="00432E0E" w:rsidRPr="00C2259E" w:rsidRDefault="00432E0E" w:rsidP="00432E0E">
      <w:pPr>
        <w:rPr>
          <w:lang w:val="en-US"/>
        </w:rPr>
      </w:pPr>
    </w:p>
    <w:p w14:paraId="639E9134" w14:textId="77777777" w:rsidR="00F03360" w:rsidRDefault="001A1570" w:rsidP="003A5B9D">
      <w:pPr>
        <w:jc w:val="both"/>
        <w:rPr>
          <w:lang w:val="en-US"/>
        </w:rPr>
      </w:pPr>
      <w:r w:rsidRPr="00F03360">
        <w:rPr>
          <w:lang w:val="en-US"/>
        </w:rPr>
        <w:t>Amundi's ESG scores are built using Amundi's ESG analysis framework and scoring methodology. We source data from the following sources for ESG scores:  Moody, ISS-</w:t>
      </w:r>
      <w:proofErr w:type="spellStart"/>
      <w:r w:rsidRPr="00F03360">
        <w:rPr>
          <w:lang w:val="en-US"/>
        </w:rPr>
        <w:t>Oekem</w:t>
      </w:r>
      <w:proofErr w:type="spellEnd"/>
      <w:r w:rsidRPr="00F03360">
        <w:rPr>
          <w:lang w:val="en-US"/>
        </w:rPr>
        <w:t xml:space="preserve">, MSCI, and Sustainalytics. </w:t>
      </w:r>
    </w:p>
    <w:p w14:paraId="1D22CD65" w14:textId="77777777" w:rsidR="00F03360" w:rsidRDefault="00F03360" w:rsidP="00F03360">
      <w:pPr>
        <w:jc w:val="both"/>
        <w:rPr>
          <w:rFonts w:cstheme="minorHAnsi"/>
          <w:lang w:val="en-US"/>
        </w:rPr>
      </w:pPr>
    </w:p>
    <w:p w14:paraId="7D92564E" w14:textId="068E536A" w:rsidR="00F03360" w:rsidRPr="00F03360" w:rsidRDefault="001A1570" w:rsidP="00F03360">
      <w:pPr>
        <w:jc w:val="both"/>
        <w:rPr>
          <w:rFonts w:cstheme="minorHAnsi"/>
          <w:b/>
          <w:sz w:val="20"/>
          <w:u w:val="single"/>
          <w:lang w:val="en-US"/>
        </w:rPr>
      </w:pPr>
      <w:r w:rsidRPr="00F03360">
        <w:rPr>
          <w:rFonts w:cstheme="minorHAnsi"/>
          <w:lang w:val="en-US"/>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14:paraId="366A7BE4" w14:textId="77777777" w:rsidR="00F03360" w:rsidRDefault="00F03360" w:rsidP="00F03360">
      <w:pPr>
        <w:jc w:val="both"/>
        <w:rPr>
          <w:rFonts w:cstheme="minorHAnsi"/>
          <w:lang w:val="en-US"/>
        </w:rPr>
      </w:pPr>
    </w:p>
    <w:p w14:paraId="381136F6" w14:textId="22F89B4C" w:rsidR="00F03360" w:rsidRPr="00F03360" w:rsidRDefault="001A1570" w:rsidP="00F03360">
      <w:pPr>
        <w:jc w:val="both"/>
        <w:rPr>
          <w:rFonts w:cstheme="minorHAnsi"/>
          <w:lang w:val="en-US"/>
        </w:rPr>
      </w:pPr>
      <w:r w:rsidRPr="00F03360">
        <w:rPr>
          <w:rFonts w:cstheme="minorHAnsi"/>
          <w:lang w:val="en-US"/>
        </w:rPr>
        <w:t>External data are collected and controlled by the Global Data Management team and are plugged into the SRI module.</w:t>
      </w:r>
    </w:p>
    <w:p w14:paraId="07765E6D" w14:textId="77777777" w:rsidR="00F03360" w:rsidRPr="00F03360" w:rsidRDefault="001A1570" w:rsidP="00F03360">
      <w:pPr>
        <w:jc w:val="both"/>
        <w:rPr>
          <w:rFonts w:cstheme="minorHAnsi"/>
          <w:lang w:val="en-US"/>
        </w:rPr>
      </w:pPr>
      <w:r w:rsidRPr="00F03360">
        <w:rPr>
          <w:rFonts w:cstheme="minorHAnsi"/>
          <w:lang w:val="en-US"/>
        </w:rPr>
        <w:t xml:space="preserve">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 </w:t>
      </w:r>
    </w:p>
    <w:p w14:paraId="63113404" w14:textId="77777777" w:rsidR="00F03360" w:rsidRPr="00F03360" w:rsidRDefault="001A1570" w:rsidP="00F03360">
      <w:pPr>
        <w:jc w:val="both"/>
        <w:rPr>
          <w:rFonts w:cstheme="minorHAnsi"/>
          <w:lang w:val="en-US"/>
        </w:rPr>
      </w:pPr>
      <w:r w:rsidRPr="00F03360">
        <w:rPr>
          <w:rFonts w:cstheme="minorHAnsi"/>
          <w:lang w:val="en-US"/>
        </w:rPr>
        <w:t xml:space="preserve">For ESG ratings, at each stage of the calculation process, the scores are </w:t>
      </w:r>
      <w:proofErr w:type="spellStart"/>
      <w:r w:rsidRPr="00F03360">
        <w:rPr>
          <w:rFonts w:cstheme="minorHAnsi"/>
          <w:lang w:val="en-US"/>
        </w:rPr>
        <w:t>normalised</w:t>
      </w:r>
      <w:proofErr w:type="spellEnd"/>
      <w:r w:rsidRPr="00F03360">
        <w:rPr>
          <w:rFonts w:cstheme="minorHAnsi"/>
          <w:lang w:val="en-US"/>
        </w:rPr>
        <w:t xml:space="preserve">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w:t>
      </w:r>
      <w:r w:rsidRPr="00F03360">
        <w:rPr>
          <w:rFonts w:cstheme="minorHAnsi"/>
          <w:lang w:val="en-US"/>
        </w:rPr>
        <w:lastRenderedPageBreak/>
        <w:t xml:space="preserve">approach). At the end of the process, each issuer is assigned an ESG score (approximately between -3 and +3) and the equivalent on a letter scale from A to G, where A is the best, and G the worst. </w:t>
      </w:r>
    </w:p>
    <w:p w14:paraId="2605750A" w14:textId="77777777" w:rsidR="00F03360" w:rsidRPr="00F03360" w:rsidRDefault="001A1570" w:rsidP="00F03360">
      <w:pPr>
        <w:jc w:val="both"/>
        <w:rPr>
          <w:rFonts w:cstheme="minorHAnsi"/>
          <w:b/>
          <w:sz w:val="20"/>
          <w:u w:val="single"/>
          <w:lang w:val="en-US"/>
        </w:rPr>
      </w:pPr>
      <w:r w:rsidRPr="00F03360">
        <w:rPr>
          <w:rFonts w:cstheme="minorHAnsi"/>
          <w:lang w:val="en-US"/>
        </w:rPr>
        <w:t>Data is then disseminated via Alto front office to portfolio managers and is monitored by the risk team.</w:t>
      </w:r>
      <w:r w:rsidRPr="00F03360">
        <w:rPr>
          <w:rFonts w:cstheme="minorHAnsi"/>
          <w:b/>
          <w:sz w:val="20"/>
          <w:u w:val="single"/>
          <w:lang w:val="en-US"/>
        </w:rPr>
        <w:t xml:space="preserve"> </w:t>
      </w:r>
    </w:p>
    <w:p w14:paraId="2F1DBD6C" w14:textId="77777777" w:rsidR="00F03360" w:rsidRPr="00F03360" w:rsidRDefault="00F03360" w:rsidP="003A5B9D">
      <w:pPr>
        <w:jc w:val="both"/>
        <w:rPr>
          <w:lang w:val="en-US"/>
        </w:rPr>
      </w:pPr>
    </w:p>
    <w:p w14:paraId="0F315055" w14:textId="77777777" w:rsidR="00F03360" w:rsidRPr="00F03360" w:rsidRDefault="001A1570" w:rsidP="00F03360">
      <w:pPr>
        <w:jc w:val="both"/>
        <w:rPr>
          <w:rFonts w:cstheme="minorHAnsi"/>
          <w:lang w:val="en-US"/>
        </w:rPr>
      </w:pPr>
      <w:r w:rsidRPr="00F03360">
        <w:rPr>
          <w:rFonts w:cstheme="minorHAnsi"/>
          <w:lang w:val="en-US"/>
        </w:rPr>
        <w:t xml:space="preserve">ESG scores utilize data derived from external data providers, internal ESG assessment/research conducted by Amundi, or through a regulated third party </w:t>
      </w:r>
      <w:proofErr w:type="spellStart"/>
      <w:r w:rsidRPr="00F03360">
        <w:rPr>
          <w:rFonts w:cstheme="minorHAnsi"/>
          <w:lang w:val="en-US"/>
        </w:rPr>
        <w:t>recognised</w:t>
      </w:r>
      <w:proofErr w:type="spellEnd"/>
      <w:r w:rsidRPr="00F03360">
        <w:rPr>
          <w:rFonts w:cstheme="minorHAnsi"/>
          <w:lang w:val="en-US"/>
        </w:rPr>
        <w:t xml:space="preserve"> for the provision of professional ESG scoring and assessment. Without mandatory ESG reporting at company level, estimations are a core component of data providers' methodology.</w:t>
      </w:r>
    </w:p>
    <w:p w14:paraId="0D3A09BD" w14:textId="39889308" w:rsidR="00E72F77" w:rsidRPr="00F03360" w:rsidRDefault="00E72F77" w:rsidP="003A5B9D">
      <w:pPr>
        <w:jc w:val="both"/>
        <w:rPr>
          <w:lang w:val="en-US"/>
        </w:rPr>
      </w:pPr>
    </w:p>
    <w:p w14:paraId="477D6057" w14:textId="77777777" w:rsidR="002571B9" w:rsidRPr="00F03360" w:rsidRDefault="002571B9" w:rsidP="003A5B9D">
      <w:pPr>
        <w:jc w:val="both"/>
        <w:rPr>
          <w:lang w:val="en-US"/>
        </w:rPr>
      </w:pPr>
    </w:p>
    <w:p w14:paraId="4E3B17BB" w14:textId="5B512753" w:rsidR="001478C5" w:rsidRPr="00C2259E" w:rsidRDefault="001A1570" w:rsidP="001478C5">
      <w:pPr>
        <w:pStyle w:val="Titre2"/>
        <w:jc w:val="both"/>
        <w:rPr>
          <w:color w:val="auto"/>
          <w:lang w:val="en-US"/>
        </w:rPr>
      </w:pPr>
      <w:r w:rsidRPr="00C2259E">
        <w:rPr>
          <w:b/>
          <w:color w:val="auto"/>
          <w:lang w:val="en-US"/>
        </w:rPr>
        <w:t>Limitations to methodologies and data</w:t>
      </w:r>
    </w:p>
    <w:p w14:paraId="4C0A47F6" w14:textId="77777777" w:rsidR="001478C5" w:rsidRPr="00C2259E" w:rsidRDefault="001478C5" w:rsidP="001478C5">
      <w:pPr>
        <w:jc w:val="both"/>
        <w:rPr>
          <w:lang w:val="en-US"/>
        </w:rPr>
      </w:pPr>
    </w:p>
    <w:p w14:paraId="69330D15" w14:textId="3CE71274" w:rsidR="00F03360" w:rsidRDefault="001A1570" w:rsidP="00F03360">
      <w:pPr>
        <w:jc w:val="both"/>
        <w:rPr>
          <w:rFonts w:cstheme="minorHAnsi"/>
          <w:lang w:val="en-US"/>
        </w:rPr>
      </w:pPr>
      <w:r w:rsidRPr="00F03360">
        <w:rPr>
          <w:rFonts w:cstheme="minorHAnsi"/>
          <w:lang w:val="en-US"/>
        </w:rPr>
        <w:t xml:space="preserve">Our methodology limitations are by construction linked to use of ESG data. The ESG data landscape is currently being </w:t>
      </w:r>
      <w:proofErr w:type="spellStart"/>
      <w:r w:rsidRPr="00F03360">
        <w:rPr>
          <w:rFonts w:cstheme="minorHAnsi"/>
          <w:lang w:val="en-US"/>
        </w:rPr>
        <w:t>standardised</w:t>
      </w:r>
      <w:proofErr w:type="spellEnd"/>
      <w:r w:rsidRPr="00F03360">
        <w:rPr>
          <w:rFonts w:cstheme="minorHAnsi"/>
          <w:lang w:val="en-US"/>
        </w:rPr>
        <w:t xml:space="preserve"> which can impact data quality; data coverage also is a limitation. Current and future regulation will improve standardized reporting and corporate disclosures on which ESG data rely.</w:t>
      </w:r>
    </w:p>
    <w:p w14:paraId="07BBB606" w14:textId="77777777" w:rsidR="00F03360" w:rsidRPr="00F03360" w:rsidRDefault="00F03360" w:rsidP="00F03360">
      <w:pPr>
        <w:jc w:val="both"/>
        <w:rPr>
          <w:rFonts w:cstheme="minorHAnsi"/>
          <w:lang w:val="en-US"/>
        </w:rPr>
      </w:pPr>
    </w:p>
    <w:p w14:paraId="2468BE76" w14:textId="77777777" w:rsidR="00F03360" w:rsidRPr="00F03360" w:rsidRDefault="001A1570" w:rsidP="00F03360">
      <w:pPr>
        <w:jc w:val="both"/>
        <w:rPr>
          <w:rFonts w:cstheme="minorHAnsi"/>
          <w:lang w:val="en-US"/>
        </w:rPr>
      </w:pPr>
      <w:r w:rsidRPr="00F03360">
        <w:rPr>
          <w:rFonts w:cstheme="minorHAnsi"/>
          <w:lang w:val="en-US"/>
        </w:rPr>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14:paraId="79407EEA" w14:textId="2FE5B98E" w:rsidR="003A5B9D" w:rsidRPr="00F03360" w:rsidRDefault="003A5B9D" w:rsidP="003A5B9D">
      <w:pPr>
        <w:jc w:val="both"/>
        <w:rPr>
          <w:lang w:val="en-US"/>
        </w:rPr>
      </w:pPr>
    </w:p>
    <w:p w14:paraId="1B0C4F29" w14:textId="77777777" w:rsidR="002571B9" w:rsidRPr="00F03360" w:rsidRDefault="002571B9" w:rsidP="003A5B9D">
      <w:pPr>
        <w:jc w:val="both"/>
        <w:rPr>
          <w:lang w:val="en-US"/>
        </w:rPr>
      </w:pPr>
    </w:p>
    <w:p w14:paraId="72B0FC1D" w14:textId="424591D0" w:rsidR="001478C5" w:rsidRPr="00E93383" w:rsidRDefault="001A1570" w:rsidP="00C2259E">
      <w:pPr>
        <w:pStyle w:val="Titre2"/>
        <w:jc w:val="both"/>
        <w:rPr>
          <w:b/>
          <w:color w:val="auto"/>
          <w:lang w:val="en-US"/>
        </w:rPr>
      </w:pPr>
      <w:r w:rsidRPr="00E93383">
        <w:rPr>
          <w:b/>
          <w:color w:val="auto"/>
          <w:lang w:val="en-US"/>
        </w:rPr>
        <w:t>Due diligence</w:t>
      </w:r>
    </w:p>
    <w:p w14:paraId="01F7C211" w14:textId="77777777" w:rsidR="002571B9" w:rsidRPr="00E93383" w:rsidRDefault="002571B9" w:rsidP="001478C5">
      <w:pPr>
        <w:jc w:val="both"/>
        <w:rPr>
          <w:lang w:val="en-US"/>
        </w:rPr>
      </w:pPr>
    </w:p>
    <w:p w14:paraId="62E67650" w14:textId="166795E1" w:rsidR="00F03360" w:rsidRPr="00F03360" w:rsidRDefault="001A1570" w:rsidP="00F03360">
      <w:pPr>
        <w:jc w:val="both"/>
        <w:rPr>
          <w:rFonts w:cstheme="minorHAnsi"/>
          <w:lang w:val="en-US"/>
        </w:rPr>
      </w:pPr>
      <w:r w:rsidRPr="00F03360">
        <w:rPr>
          <w:rFonts w:cstheme="minorHAnsi"/>
          <w:lang w:val="en-US"/>
        </w:rPr>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w:t>
      </w:r>
      <w:r w:rsidR="00F92E11">
        <w:rPr>
          <w:rFonts w:cstheme="minorHAnsi"/>
          <w:lang w:val="en-US"/>
        </w:rPr>
        <w:t xml:space="preserve"> </w:t>
      </w:r>
      <w:r w:rsidRPr="00F03360">
        <w:rPr>
          <w:rFonts w:cstheme="minorHAnsi"/>
          <w:lang w:val="en-US"/>
        </w:rPr>
        <w:t xml:space="preserve">between 2 providers. After this review the analyst can override a score from the calculated score which is validated by the management of the team and is documented by a note stored in Amundi database </w:t>
      </w:r>
      <w:proofErr w:type="spellStart"/>
      <w:r w:rsidRPr="00F03360">
        <w:rPr>
          <w:rFonts w:cstheme="minorHAnsi"/>
          <w:lang w:val="en-US"/>
        </w:rPr>
        <w:t>iPortal</w:t>
      </w:r>
      <w:proofErr w:type="spellEnd"/>
      <w:r w:rsidRPr="00F03360">
        <w:rPr>
          <w:rFonts w:cstheme="minorHAnsi"/>
          <w:lang w:val="en-US"/>
        </w:rPr>
        <w:t>. This can also be subject to a validation of the ESG Rating Committee.</w:t>
      </w:r>
    </w:p>
    <w:p w14:paraId="3E55BC05" w14:textId="77777777" w:rsidR="00F03360" w:rsidRPr="00F03360" w:rsidRDefault="001A1570" w:rsidP="00F03360">
      <w:pPr>
        <w:jc w:val="both"/>
        <w:rPr>
          <w:rFonts w:cstheme="minorHAnsi"/>
          <w:lang w:val="en-US"/>
        </w:rPr>
      </w:pPr>
      <w:r w:rsidRPr="00F03360">
        <w:rPr>
          <w:rFonts w:cstheme="minorHAnsi"/>
          <w:lang w:val="en-US"/>
        </w:rPr>
        <w:t>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14:paraId="4F222CCF" w14:textId="18DCB010" w:rsidR="003A5B9D" w:rsidRPr="00F03360" w:rsidRDefault="003A5B9D" w:rsidP="001478C5">
      <w:pPr>
        <w:jc w:val="both"/>
        <w:rPr>
          <w:lang w:val="en-US"/>
        </w:rPr>
      </w:pPr>
    </w:p>
    <w:p w14:paraId="655B1DE5" w14:textId="77777777" w:rsidR="002571B9" w:rsidRPr="00F03360" w:rsidRDefault="002571B9" w:rsidP="001478C5">
      <w:pPr>
        <w:jc w:val="both"/>
        <w:rPr>
          <w:lang w:val="en-US"/>
        </w:rPr>
      </w:pPr>
    </w:p>
    <w:p w14:paraId="257F6900" w14:textId="2ABBAECF" w:rsidR="001478C5" w:rsidRPr="00E93383" w:rsidRDefault="001A1570" w:rsidP="00C2259E">
      <w:pPr>
        <w:pStyle w:val="Titre2"/>
        <w:jc w:val="both"/>
        <w:rPr>
          <w:b/>
          <w:color w:val="auto"/>
          <w:lang w:val="en-US"/>
        </w:rPr>
      </w:pPr>
      <w:r w:rsidRPr="00E93383">
        <w:rPr>
          <w:b/>
          <w:color w:val="auto"/>
          <w:lang w:val="en-US"/>
        </w:rPr>
        <w:t>Engagement policies</w:t>
      </w:r>
    </w:p>
    <w:p w14:paraId="7D2DFAA9" w14:textId="77777777" w:rsidR="00E77637" w:rsidRPr="00E93383" w:rsidRDefault="00E77637" w:rsidP="001478C5">
      <w:pPr>
        <w:jc w:val="both"/>
        <w:rPr>
          <w:rFonts w:asciiTheme="majorHAnsi" w:eastAsiaTheme="majorEastAsia" w:hAnsiTheme="majorHAnsi" w:cstheme="majorBidi"/>
          <w:bCs/>
          <w:lang w:val="en-US"/>
        </w:rPr>
      </w:pPr>
    </w:p>
    <w:p w14:paraId="61006FBC" w14:textId="77777777" w:rsidR="00F03360" w:rsidRPr="00F03360" w:rsidRDefault="001A1570" w:rsidP="00F03360">
      <w:pPr>
        <w:jc w:val="both"/>
        <w:rPr>
          <w:rFonts w:cstheme="minorHAnsi"/>
          <w:lang w:val="en-US"/>
        </w:rPr>
      </w:pPr>
      <w:r w:rsidRPr="00F03360">
        <w:rPr>
          <w:rFonts w:cstheme="minorHAnsi"/>
          <w:lang w:val="en-US"/>
        </w:rPr>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14:paraId="1575B232" w14:textId="7396C0FD" w:rsidR="00D908C4" w:rsidRPr="00F03360" w:rsidRDefault="00D908C4" w:rsidP="001478C5">
      <w:pPr>
        <w:jc w:val="both"/>
        <w:rPr>
          <w:lang w:val="en-US"/>
        </w:rPr>
      </w:pPr>
    </w:p>
    <w:p w14:paraId="7976B234" w14:textId="77777777" w:rsidR="002571B9" w:rsidRPr="00F03360" w:rsidRDefault="002571B9" w:rsidP="001478C5">
      <w:pPr>
        <w:jc w:val="both"/>
        <w:rPr>
          <w:lang w:val="en-US"/>
        </w:rPr>
      </w:pPr>
    </w:p>
    <w:p w14:paraId="75B7F50F" w14:textId="0ED8ED2B" w:rsidR="001478C5" w:rsidRPr="00C2259E" w:rsidRDefault="001A1570" w:rsidP="001478C5">
      <w:pPr>
        <w:pStyle w:val="Titre2"/>
        <w:jc w:val="both"/>
        <w:rPr>
          <w:color w:val="auto"/>
          <w:lang w:val="en-US"/>
        </w:rPr>
      </w:pPr>
      <w:r w:rsidRPr="00C2259E">
        <w:rPr>
          <w:b/>
          <w:color w:val="auto"/>
          <w:lang w:val="en-US"/>
        </w:rPr>
        <w:t>Designated reference benchmark</w:t>
      </w:r>
    </w:p>
    <w:p w14:paraId="48211E4D" w14:textId="77777777" w:rsidR="001720F2" w:rsidRPr="001720F2" w:rsidRDefault="001720F2" w:rsidP="001720F2">
      <w:pPr>
        <w:tabs>
          <w:tab w:val="num" w:pos="1560"/>
        </w:tabs>
        <w:spacing w:after="0"/>
        <w:jc w:val="both"/>
        <w:rPr>
          <w:rFonts w:ascii="Calibri" w:eastAsia="Calibri" w:hAnsi="Calibri" w:cs="Calibri"/>
          <w:b/>
          <w:bCs/>
          <w:color w:val="FF0000"/>
          <w:spacing w:val="-6"/>
          <w:position w:val="1"/>
          <w:szCs w:val="21"/>
          <w:lang w:val="en-GB"/>
        </w:rPr>
      </w:pPr>
    </w:p>
    <w:p w14:paraId="1E7F0BFF" w14:textId="5ADE1334" w:rsidR="00921654" w:rsidRDefault="001A1570" w:rsidP="00921654">
      <w:pPr>
        <w:jc w:val="both"/>
        <w:rPr>
          <w:lang w:val="en-US"/>
        </w:rPr>
      </w:pPr>
      <w:r>
        <w:rPr>
          <w:lang w:val="en-US"/>
        </w:rPr>
        <w:t>T</w:t>
      </w:r>
      <w:r w:rsidRPr="004E707D">
        <w:rPr>
          <w:lang w:val="en-US"/>
        </w:rPr>
        <w:t xml:space="preserve">he Index has been designated as a reference benchmark to determine whether the </w:t>
      </w:r>
      <w:r w:rsidR="005F6C0F">
        <w:rPr>
          <w:lang w:val="en-US"/>
        </w:rPr>
        <w:t>financial product</w:t>
      </w:r>
      <w:r w:rsidRPr="004E707D">
        <w:rPr>
          <w:lang w:val="en-US"/>
        </w:rPr>
        <w:t xml:space="preserve"> is aligned with the environmental and/or social characteristics that it promotes. </w:t>
      </w:r>
    </w:p>
    <w:p w14:paraId="0AFBF315" w14:textId="77777777" w:rsidR="00921654" w:rsidRDefault="001A1570" w:rsidP="00921654">
      <w:pPr>
        <w:jc w:val="both"/>
        <w:rPr>
          <w:lang w:val="en-US"/>
        </w:rPr>
      </w:pPr>
      <w:r w:rsidRPr="00CF056D">
        <w:rPr>
          <w:lang w:val="en-US"/>
        </w:rPr>
        <w:t xml:space="preserve">According to applicable regulations to index sponsors (including BMR), index sponsors should define appropriate controls/diligence when defining and/or operating index methodologies of regulated indexes. </w:t>
      </w:r>
    </w:p>
    <w:p w14:paraId="4E0BABF6" w14:textId="30D0E232" w:rsidR="00921654" w:rsidRDefault="00921654" w:rsidP="001478C5">
      <w:pPr>
        <w:jc w:val="both"/>
        <w:rPr>
          <w:lang w:val="en-US"/>
        </w:rPr>
      </w:pPr>
    </w:p>
    <w:p w14:paraId="58826C3C" w14:textId="7EA91E01" w:rsidR="00921654" w:rsidRDefault="00921654" w:rsidP="001478C5">
      <w:pPr>
        <w:jc w:val="both"/>
        <w:rPr>
          <w:lang w:val="en-US"/>
        </w:rPr>
      </w:pPr>
    </w:p>
    <w:p w14:paraId="5858B183" w14:textId="39CD7C42" w:rsidR="00DB00D2" w:rsidRDefault="00BF1728" w:rsidP="00BF1728">
      <w:pPr>
        <w:tabs>
          <w:tab w:val="num" w:pos="1560"/>
        </w:tabs>
        <w:spacing w:after="0"/>
        <w:jc w:val="both"/>
        <w:rPr>
          <w:lang w:val="en-US"/>
        </w:rPr>
      </w:pPr>
      <w:r w:rsidRPr="00BF1728">
        <w:rPr>
          <w:lang w:val="en-US"/>
        </w:rPr>
        <w:t>The Bloomberg MSCI US Corporate High Yield SRI Sustainable Bond Index tracks fixed-rate, high-yield</w:t>
      </w:r>
      <w:r>
        <w:rPr>
          <w:lang w:val="en-US"/>
        </w:rPr>
        <w:t xml:space="preserve"> </w:t>
      </w:r>
      <w:r w:rsidRPr="00BF1728">
        <w:rPr>
          <w:lang w:val="en-US"/>
        </w:rPr>
        <w:t>corporate bond with at least USD300mn par amount outstanding. This index is based on the</w:t>
      </w:r>
      <w:r>
        <w:rPr>
          <w:lang w:val="en-US"/>
        </w:rPr>
        <w:t xml:space="preserve"> </w:t>
      </w:r>
      <w:r w:rsidRPr="00BF1728">
        <w:rPr>
          <w:lang w:val="en-US"/>
        </w:rPr>
        <w:t>Bloomberg US Corporate High Yield Index (the "Parent Index") and applies additional criteria to</w:t>
      </w:r>
      <w:r>
        <w:rPr>
          <w:lang w:val="en-US"/>
        </w:rPr>
        <w:t xml:space="preserve"> </w:t>
      </w:r>
      <w:r w:rsidRPr="00BF1728">
        <w:rPr>
          <w:lang w:val="en-US"/>
        </w:rPr>
        <w:t>include issuers with MSCI ESG Ratings of BBB or higher and negatively screens issuers that are</w:t>
      </w:r>
      <w:r>
        <w:rPr>
          <w:lang w:val="en-US"/>
        </w:rPr>
        <w:t xml:space="preserve"> </w:t>
      </w:r>
      <w:r w:rsidRPr="00BF1728">
        <w:rPr>
          <w:lang w:val="en-US"/>
        </w:rPr>
        <w:t>involved in business activities that are restricted according to pre-defined Business Involvement</w:t>
      </w:r>
      <w:r>
        <w:rPr>
          <w:lang w:val="en-US"/>
        </w:rPr>
        <w:t xml:space="preserve"> </w:t>
      </w:r>
      <w:r w:rsidRPr="00BF1728">
        <w:rPr>
          <w:lang w:val="en-US"/>
        </w:rPr>
        <w:t>Screens and issuers with a "Red" MSCI ESG Controversy Score.</w:t>
      </w:r>
    </w:p>
    <w:p w14:paraId="2AA54EDA" w14:textId="539C83F8" w:rsidR="00BF1728" w:rsidRPr="002319C7" w:rsidRDefault="00BF1728" w:rsidP="00BF1728">
      <w:pPr>
        <w:tabs>
          <w:tab w:val="num" w:pos="1560"/>
        </w:tabs>
        <w:spacing w:after="0"/>
        <w:jc w:val="both"/>
        <w:rPr>
          <w:lang w:val="en-US"/>
        </w:rPr>
      </w:pPr>
      <w:r w:rsidRPr="00BF1728">
        <w:rPr>
          <w:lang w:val="en-US"/>
        </w:rPr>
        <w:t>Additional information on the Index can be found at</w:t>
      </w:r>
      <w:r>
        <w:rPr>
          <w:lang w:val="en-US"/>
        </w:rPr>
        <w:t xml:space="preserve"> </w:t>
      </w:r>
      <w:r w:rsidRPr="00BF1728">
        <w:rPr>
          <w:lang w:val="en-US"/>
        </w:rPr>
        <w:t>https://www.bloomberg.com/professional/product/indices/bloomberg-fixed-income-indices/#/ucits</w:t>
      </w:r>
    </w:p>
    <w:sectPr w:rsidR="00BF1728" w:rsidRPr="002319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1319" w14:textId="77777777" w:rsidR="00570448" w:rsidRDefault="00570448" w:rsidP="00570448">
      <w:pPr>
        <w:spacing w:after="0" w:line="240" w:lineRule="auto"/>
      </w:pPr>
      <w:r>
        <w:separator/>
      </w:r>
    </w:p>
  </w:endnote>
  <w:endnote w:type="continuationSeparator" w:id="0">
    <w:p w14:paraId="1202C2DD" w14:textId="77777777" w:rsidR="00570448" w:rsidRDefault="00570448" w:rsidP="0057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4D20" w14:textId="77777777" w:rsidR="00570448" w:rsidRDefault="00570448" w:rsidP="00570448">
      <w:pPr>
        <w:spacing w:after="0" w:line="240" w:lineRule="auto"/>
      </w:pPr>
      <w:r>
        <w:separator/>
      </w:r>
    </w:p>
  </w:footnote>
  <w:footnote w:type="continuationSeparator" w:id="0">
    <w:p w14:paraId="71D3C64D" w14:textId="77777777" w:rsidR="00570448" w:rsidRDefault="00570448" w:rsidP="00570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87045"/>
    <w:multiLevelType w:val="hybridMultilevel"/>
    <w:tmpl w:val="9D660154"/>
    <w:lvl w:ilvl="0" w:tplc="CCEE61A0">
      <w:start w:val="1"/>
      <w:numFmt w:val="bullet"/>
      <w:lvlText w:val=""/>
      <w:lvlJc w:val="left"/>
      <w:pPr>
        <w:tabs>
          <w:tab w:val="num" w:pos="927"/>
        </w:tabs>
        <w:ind w:left="927" w:hanging="360"/>
      </w:pPr>
      <w:rPr>
        <w:rFonts w:ascii="Symbol" w:hAnsi="Symbol" w:hint="default"/>
        <w:color w:val="BFBFBF" w:themeColor="background1" w:themeShade="BF"/>
        <w:sz w:val="44"/>
      </w:rPr>
    </w:lvl>
    <w:lvl w:ilvl="1" w:tplc="D318DD10">
      <w:start w:val="1"/>
      <w:numFmt w:val="bullet"/>
      <w:lvlText w:val=""/>
      <w:lvlJc w:val="left"/>
      <w:pPr>
        <w:tabs>
          <w:tab w:val="num" w:pos="360"/>
        </w:tabs>
        <w:ind w:left="360" w:hanging="360"/>
      </w:pPr>
      <w:rPr>
        <w:rFonts w:ascii="Symbol" w:hAnsi="Symbol" w:hint="default"/>
        <w:color w:val="BFBFBF" w:themeColor="background1" w:themeShade="BF"/>
        <w:sz w:val="44"/>
      </w:rPr>
    </w:lvl>
    <w:lvl w:ilvl="2" w:tplc="3E1647AC">
      <w:start w:val="1"/>
      <w:numFmt w:val="bullet"/>
      <w:lvlText w:val=""/>
      <w:lvlJc w:val="left"/>
      <w:pPr>
        <w:tabs>
          <w:tab w:val="num" w:pos="2367"/>
        </w:tabs>
        <w:ind w:left="2367" w:hanging="360"/>
      </w:pPr>
      <w:rPr>
        <w:rFonts w:ascii="Symbol" w:hAnsi="Symbol" w:hint="default"/>
      </w:rPr>
    </w:lvl>
    <w:lvl w:ilvl="3" w:tplc="F18C327E">
      <w:start w:val="1"/>
      <w:numFmt w:val="bullet"/>
      <w:lvlText w:val=""/>
      <w:lvlJc w:val="left"/>
      <w:pPr>
        <w:ind w:left="785" w:hanging="360"/>
      </w:pPr>
      <w:rPr>
        <w:rFonts w:ascii="Symbol" w:hAnsi="Symbol" w:hint="default"/>
        <w:color w:val="0072A3"/>
        <w:w w:val="100"/>
        <w:sz w:val="19"/>
        <w:szCs w:val="19"/>
        <w:lang w:val="fr-FR" w:eastAsia="fr-FR" w:bidi="fr-FR"/>
      </w:rPr>
    </w:lvl>
    <w:lvl w:ilvl="4" w:tplc="588C6E8A" w:tentative="1">
      <w:start w:val="1"/>
      <w:numFmt w:val="bullet"/>
      <w:lvlText w:val=""/>
      <w:lvlJc w:val="left"/>
      <w:pPr>
        <w:tabs>
          <w:tab w:val="num" w:pos="3807"/>
        </w:tabs>
        <w:ind w:left="3807" w:hanging="360"/>
      </w:pPr>
      <w:rPr>
        <w:rFonts w:ascii="Symbol" w:hAnsi="Symbol" w:hint="default"/>
      </w:rPr>
    </w:lvl>
    <w:lvl w:ilvl="5" w:tplc="FD74193C" w:tentative="1">
      <w:start w:val="1"/>
      <w:numFmt w:val="bullet"/>
      <w:lvlText w:val=""/>
      <w:lvlJc w:val="left"/>
      <w:pPr>
        <w:tabs>
          <w:tab w:val="num" w:pos="4527"/>
        </w:tabs>
        <w:ind w:left="4527" w:hanging="360"/>
      </w:pPr>
      <w:rPr>
        <w:rFonts w:ascii="Symbol" w:hAnsi="Symbol" w:hint="default"/>
      </w:rPr>
    </w:lvl>
    <w:lvl w:ilvl="6" w:tplc="681A4716" w:tentative="1">
      <w:start w:val="1"/>
      <w:numFmt w:val="bullet"/>
      <w:lvlText w:val=""/>
      <w:lvlJc w:val="left"/>
      <w:pPr>
        <w:tabs>
          <w:tab w:val="num" w:pos="5247"/>
        </w:tabs>
        <w:ind w:left="5247" w:hanging="360"/>
      </w:pPr>
      <w:rPr>
        <w:rFonts w:ascii="Symbol" w:hAnsi="Symbol" w:hint="default"/>
      </w:rPr>
    </w:lvl>
    <w:lvl w:ilvl="7" w:tplc="ACDCDDF8" w:tentative="1">
      <w:start w:val="1"/>
      <w:numFmt w:val="bullet"/>
      <w:lvlText w:val=""/>
      <w:lvlJc w:val="left"/>
      <w:pPr>
        <w:tabs>
          <w:tab w:val="num" w:pos="5967"/>
        </w:tabs>
        <w:ind w:left="5967" w:hanging="360"/>
      </w:pPr>
      <w:rPr>
        <w:rFonts w:ascii="Symbol" w:hAnsi="Symbol" w:hint="default"/>
      </w:rPr>
    </w:lvl>
    <w:lvl w:ilvl="8" w:tplc="17F21680" w:tentative="1">
      <w:start w:val="1"/>
      <w:numFmt w:val="bullet"/>
      <w:lvlText w:val=""/>
      <w:lvlJc w:val="left"/>
      <w:pPr>
        <w:tabs>
          <w:tab w:val="num" w:pos="6687"/>
        </w:tabs>
        <w:ind w:left="6687" w:hanging="360"/>
      </w:pPr>
      <w:rPr>
        <w:rFonts w:ascii="Symbol" w:hAnsi="Symbol" w:hint="default"/>
      </w:rPr>
    </w:lvl>
  </w:abstractNum>
  <w:abstractNum w:abstractNumId="1" w15:restartNumberingAfterBreak="0">
    <w:nsid w:val="3FCE1162"/>
    <w:multiLevelType w:val="hybridMultilevel"/>
    <w:tmpl w:val="6ACC7730"/>
    <w:lvl w:ilvl="0" w:tplc="CA6E9792">
      <w:start w:val="1"/>
      <w:numFmt w:val="lowerLetter"/>
      <w:lvlText w:val="(%1)"/>
      <w:lvlJc w:val="left"/>
      <w:pPr>
        <w:ind w:left="720" w:hanging="360"/>
      </w:pPr>
      <w:rPr>
        <w:rFonts w:hint="default"/>
      </w:rPr>
    </w:lvl>
    <w:lvl w:ilvl="1" w:tplc="322ABE08" w:tentative="1">
      <w:start w:val="1"/>
      <w:numFmt w:val="lowerLetter"/>
      <w:lvlText w:val="%2."/>
      <w:lvlJc w:val="left"/>
      <w:pPr>
        <w:ind w:left="1440" w:hanging="360"/>
      </w:pPr>
    </w:lvl>
    <w:lvl w:ilvl="2" w:tplc="BE7E799E" w:tentative="1">
      <w:start w:val="1"/>
      <w:numFmt w:val="lowerRoman"/>
      <w:lvlText w:val="%3."/>
      <w:lvlJc w:val="right"/>
      <w:pPr>
        <w:ind w:left="2160" w:hanging="180"/>
      </w:pPr>
    </w:lvl>
    <w:lvl w:ilvl="3" w:tplc="43B87366" w:tentative="1">
      <w:start w:val="1"/>
      <w:numFmt w:val="decimal"/>
      <w:lvlText w:val="%4."/>
      <w:lvlJc w:val="left"/>
      <w:pPr>
        <w:ind w:left="2880" w:hanging="360"/>
      </w:pPr>
    </w:lvl>
    <w:lvl w:ilvl="4" w:tplc="96C44A58" w:tentative="1">
      <w:start w:val="1"/>
      <w:numFmt w:val="lowerLetter"/>
      <w:lvlText w:val="%5."/>
      <w:lvlJc w:val="left"/>
      <w:pPr>
        <w:ind w:left="3600" w:hanging="360"/>
      </w:pPr>
    </w:lvl>
    <w:lvl w:ilvl="5" w:tplc="A2980C36" w:tentative="1">
      <w:start w:val="1"/>
      <w:numFmt w:val="lowerRoman"/>
      <w:lvlText w:val="%6."/>
      <w:lvlJc w:val="right"/>
      <w:pPr>
        <w:ind w:left="4320" w:hanging="180"/>
      </w:pPr>
    </w:lvl>
    <w:lvl w:ilvl="6" w:tplc="DEACEA2E" w:tentative="1">
      <w:start w:val="1"/>
      <w:numFmt w:val="decimal"/>
      <w:lvlText w:val="%7."/>
      <w:lvlJc w:val="left"/>
      <w:pPr>
        <w:ind w:left="5040" w:hanging="360"/>
      </w:pPr>
    </w:lvl>
    <w:lvl w:ilvl="7" w:tplc="82ECF7A4" w:tentative="1">
      <w:start w:val="1"/>
      <w:numFmt w:val="lowerLetter"/>
      <w:lvlText w:val="%8."/>
      <w:lvlJc w:val="left"/>
      <w:pPr>
        <w:ind w:left="5760" w:hanging="360"/>
      </w:pPr>
    </w:lvl>
    <w:lvl w:ilvl="8" w:tplc="04544F38" w:tentative="1">
      <w:start w:val="1"/>
      <w:numFmt w:val="lowerRoman"/>
      <w:lvlText w:val="%9."/>
      <w:lvlJc w:val="right"/>
      <w:pPr>
        <w:ind w:left="6480" w:hanging="180"/>
      </w:pPr>
    </w:lvl>
  </w:abstractNum>
  <w:abstractNum w:abstractNumId="2" w15:restartNumberingAfterBreak="0">
    <w:nsid w:val="552D6C79"/>
    <w:multiLevelType w:val="hybridMultilevel"/>
    <w:tmpl w:val="6C989EB0"/>
    <w:lvl w:ilvl="0" w:tplc="30E41016">
      <w:start w:val="1"/>
      <w:numFmt w:val="bullet"/>
      <w:lvlText w:val=""/>
      <w:lvlJc w:val="left"/>
      <w:pPr>
        <w:ind w:left="720" w:hanging="360"/>
      </w:pPr>
      <w:rPr>
        <w:rFonts w:ascii="Symbol" w:hAnsi="Symbol" w:hint="default"/>
      </w:rPr>
    </w:lvl>
    <w:lvl w:ilvl="1" w:tplc="701AFAD8" w:tentative="1">
      <w:start w:val="1"/>
      <w:numFmt w:val="bullet"/>
      <w:lvlText w:val="o"/>
      <w:lvlJc w:val="left"/>
      <w:pPr>
        <w:ind w:left="1440" w:hanging="360"/>
      </w:pPr>
      <w:rPr>
        <w:rFonts w:ascii="Courier New" w:hAnsi="Courier New" w:cs="Courier New" w:hint="default"/>
      </w:rPr>
    </w:lvl>
    <w:lvl w:ilvl="2" w:tplc="ECE00CDE" w:tentative="1">
      <w:start w:val="1"/>
      <w:numFmt w:val="bullet"/>
      <w:lvlText w:val=""/>
      <w:lvlJc w:val="left"/>
      <w:pPr>
        <w:ind w:left="2160" w:hanging="360"/>
      </w:pPr>
      <w:rPr>
        <w:rFonts w:ascii="Wingdings" w:hAnsi="Wingdings" w:hint="default"/>
      </w:rPr>
    </w:lvl>
    <w:lvl w:ilvl="3" w:tplc="F844F24C" w:tentative="1">
      <w:start w:val="1"/>
      <w:numFmt w:val="bullet"/>
      <w:lvlText w:val=""/>
      <w:lvlJc w:val="left"/>
      <w:pPr>
        <w:ind w:left="2880" w:hanging="360"/>
      </w:pPr>
      <w:rPr>
        <w:rFonts w:ascii="Symbol" w:hAnsi="Symbol" w:hint="default"/>
      </w:rPr>
    </w:lvl>
    <w:lvl w:ilvl="4" w:tplc="D006298E" w:tentative="1">
      <w:start w:val="1"/>
      <w:numFmt w:val="bullet"/>
      <w:lvlText w:val="o"/>
      <w:lvlJc w:val="left"/>
      <w:pPr>
        <w:ind w:left="3600" w:hanging="360"/>
      </w:pPr>
      <w:rPr>
        <w:rFonts w:ascii="Courier New" w:hAnsi="Courier New" w:cs="Courier New" w:hint="default"/>
      </w:rPr>
    </w:lvl>
    <w:lvl w:ilvl="5" w:tplc="779C3610" w:tentative="1">
      <w:start w:val="1"/>
      <w:numFmt w:val="bullet"/>
      <w:lvlText w:val=""/>
      <w:lvlJc w:val="left"/>
      <w:pPr>
        <w:ind w:left="4320" w:hanging="360"/>
      </w:pPr>
      <w:rPr>
        <w:rFonts w:ascii="Wingdings" w:hAnsi="Wingdings" w:hint="default"/>
      </w:rPr>
    </w:lvl>
    <w:lvl w:ilvl="6" w:tplc="4E58F98A" w:tentative="1">
      <w:start w:val="1"/>
      <w:numFmt w:val="bullet"/>
      <w:lvlText w:val=""/>
      <w:lvlJc w:val="left"/>
      <w:pPr>
        <w:ind w:left="5040" w:hanging="360"/>
      </w:pPr>
      <w:rPr>
        <w:rFonts w:ascii="Symbol" w:hAnsi="Symbol" w:hint="default"/>
      </w:rPr>
    </w:lvl>
    <w:lvl w:ilvl="7" w:tplc="D610DA4C" w:tentative="1">
      <w:start w:val="1"/>
      <w:numFmt w:val="bullet"/>
      <w:lvlText w:val="o"/>
      <w:lvlJc w:val="left"/>
      <w:pPr>
        <w:ind w:left="5760" w:hanging="360"/>
      </w:pPr>
      <w:rPr>
        <w:rFonts w:ascii="Courier New" w:hAnsi="Courier New" w:cs="Courier New" w:hint="default"/>
      </w:rPr>
    </w:lvl>
    <w:lvl w:ilvl="8" w:tplc="36E66BF0" w:tentative="1">
      <w:start w:val="1"/>
      <w:numFmt w:val="bullet"/>
      <w:lvlText w:val=""/>
      <w:lvlJc w:val="left"/>
      <w:pPr>
        <w:ind w:left="6480" w:hanging="360"/>
      </w:pPr>
      <w:rPr>
        <w:rFonts w:ascii="Wingdings" w:hAnsi="Wingdings" w:hint="default"/>
      </w:rPr>
    </w:lvl>
  </w:abstractNum>
  <w:abstractNum w:abstractNumId="3" w15:restartNumberingAfterBreak="0">
    <w:nsid w:val="65C21C1F"/>
    <w:multiLevelType w:val="hybridMultilevel"/>
    <w:tmpl w:val="F964F4A4"/>
    <w:lvl w:ilvl="0" w:tplc="D0D61714">
      <w:start w:val="1"/>
      <w:numFmt w:val="bullet"/>
      <w:lvlText w:val=""/>
      <w:lvlJc w:val="left"/>
      <w:pPr>
        <w:tabs>
          <w:tab w:val="num" w:pos="927"/>
        </w:tabs>
        <w:ind w:left="927" w:hanging="360"/>
      </w:pPr>
      <w:rPr>
        <w:rFonts w:ascii="Symbol" w:hAnsi="Symbol" w:hint="default"/>
        <w:color w:val="BFBFBF" w:themeColor="background1" w:themeShade="BF"/>
        <w:sz w:val="44"/>
      </w:rPr>
    </w:lvl>
    <w:lvl w:ilvl="1" w:tplc="B9B60F52">
      <w:start w:val="1"/>
      <w:numFmt w:val="bullet"/>
      <w:lvlText w:val=""/>
      <w:lvlJc w:val="left"/>
      <w:pPr>
        <w:tabs>
          <w:tab w:val="num" w:pos="360"/>
        </w:tabs>
        <w:ind w:left="360" w:hanging="360"/>
      </w:pPr>
      <w:rPr>
        <w:rFonts w:ascii="Symbol" w:hAnsi="Symbol" w:hint="default"/>
        <w:color w:val="BFBFBF" w:themeColor="background1" w:themeShade="BF"/>
        <w:sz w:val="44"/>
      </w:rPr>
    </w:lvl>
    <w:lvl w:ilvl="2" w:tplc="38383A88">
      <w:start w:val="1"/>
      <w:numFmt w:val="bullet"/>
      <w:lvlText w:val=""/>
      <w:lvlJc w:val="left"/>
      <w:pPr>
        <w:tabs>
          <w:tab w:val="num" w:pos="2367"/>
        </w:tabs>
        <w:ind w:left="2367" w:hanging="360"/>
      </w:pPr>
      <w:rPr>
        <w:rFonts w:ascii="Symbol" w:hAnsi="Symbol" w:hint="default"/>
      </w:rPr>
    </w:lvl>
    <w:lvl w:ilvl="3" w:tplc="DA20813C">
      <w:numFmt w:val="bullet"/>
      <w:lvlText w:val="•"/>
      <w:lvlJc w:val="left"/>
      <w:pPr>
        <w:ind w:left="785" w:hanging="360"/>
      </w:pPr>
      <w:rPr>
        <w:rFonts w:ascii="GothamNarrow-Book" w:eastAsia="GothamNarrow-Book" w:hAnsi="GothamNarrow-Book" w:cs="GothamNarrow-Book" w:hint="default"/>
        <w:color w:val="0072A3"/>
        <w:w w:val="100"/>
        <w:sz w:val="19"/>
        <w:szCs w:val="19"/>
        <w:lang w:val="fr-FR" w:eastAsia="fr-FR" w:bidi="fr-FR"/>
      </w:rPr>
    </w:lvl>
    <w:lvl w:ilvl="4" w:tplc="540EF9C2" w:tentative="1">
      <w:start w:val="1"/>
      <w:numFmt w:val="bullet"/>
      <w:lvlText w:val=""/>
      <w:lvlJc w:val="left"/>
      <w:pPr>
        <w:tabs>
          <w:tab w:val="num" w:pos="3807"/>
        </w:tabs>
        <w:ind w:left="3807" w:hanging="360"/>
      </w:pPr>
      <w:rPr>
        <w:rFonts w:ascii="Symbol" w:hAnsi="Symbol" w:hint="default"/>
      </w:rPr>
    </w:lvl>
    <w:lvl w:ilvl="5" w:tplc="3782E654" w:tentative="1">
      <w:start w:val="1"/>
      <w:numFmt w:val="bullet"/>
      <w:lvlText w:val=""/>
      <w:lvlJc w:val="left"/>
      <w:pPr>
        <w:tabs>
          <w:tab w:val="num" w:pos="4527"/>
        </w:tabs>
        <w:ind w:left="4527" w:hanging="360"/>
      </w:pPr>
      <w:rPr>
        <w:rFonts w:ascii="Symbol" w:hAnsi="Symbol" w:hint="default"/>
      </w:rPr>
    </w:lvl>
    <w:lvl w:ilvl="6" w:tplc="A37416FA" w:tentative="1">
      <w:start w:val="1"/>
      <w:numFmt w:val="bullet"/>
      <w:lvlText w:val=""/>
      <w:lvlJc w:val="left"/>
      <w:pPr>
        <w:tabs>
          <w:tab w:val="num" w:pos="5247"/>
        </w:tabs>
        <w:ind w:left="5247" w:hanging="360"/>
      </w:pPr>
      <w:rPr>
        <w:rFonts w:ascii="Symbol" w:hAnsi="Symbol" w:hint="default"/>
      </w:rPr>
    </w:lvl>
    <w:lvl w:ilvl="7" w:tplc="F17A79A2" w:tentative="1">
      <w:start w:val="1"/>
      <w:numFmt w:val="bullet"/>
      <w:lvlText w:val=""/>
      <w:lvlJc w:val="left"/>
      <w:pPr>
        <w:tabs>
          <w:tab w:val="num" w:pos="5967"/>
        </w:tabs>
        <w:ind w:left="5967" w:hanging="360"/>
      </w:pPr>
      <w:rPr>
        <w:rFonts w:ascii="Symbol" w:hAnsi="Symbol" w:hint="default"/>
      </w:rPr>
    </w:lvl>
    <w:lvl w:ilvl="8" w:tplc="AEEE59BA" w:tentative="1">
      <w:start w:val="1"/>
      <w:numFmt w:val="bullet"/>
      <w:lvlText w:val=""/>
      <w:lvlJc w:val="left"/>
      <w:pPr>
        <w:tabs>
          <w:tab w:val="num" w:pos="6687"/>
        </w:tabs>
        <w:ind w:left="6687" w:hanging="360"/>
      </w:pPr>
      <w:rPr>
        <w:rFonts w:ascii="Symbol" w:hAnsi="Symbol" w:hint="default"/>
      </w:rPr>
    </w:lvl>
  </w:abstractNum>
  <w:abstractNum w:abstractNumId="4" w15:restartNumberingAfterBreak="0">
    <w:nsid w:val="6B0561E2"/>
    <w:multiLevelType w:val="hybridMultilevel"/>
    <w:tmpl w:val="3E86F9FE"/>
    <w:lvl w:ilvl="0" w:tplc="11461FCA">
      <w:numFmt w:val="bullet"/>
      <w:lvlText w:val="-"/>
      <w:lvlJc w:val="left"/>
      <w:pPr>
        <w:ind w:left="720" w:hanging="360"/>
      </w:pPr>
      <w:rPr>
        <w:rFonts w:ascii="Calibri" w:eastAsiaTheme="minorHAnsi" w:hAnsi="Calibri" w:cs="Calibri" w:hint="default"/>
      </w:rPr>
    </w:lvl>
    <w:lvl w:ilvl="1" w:tplc="FF2A8FA8" w:tentative="1">
      <w:start w:val="1"/>
      <w:numFmt w:val="bullet"/>
      <w:lvlText w:val="o"/>
      <w:lvlJc w:val="left"/>
      <w:pPr>
        <w:ind w:left="1440" w:hanging="360"/>
      </w:pPr>
      <w:rPr>
        <w:rFonts w:ascii="Courier New" w:hAnsi="Courier New" w:cs="Courier New" w:hint="default"/>
      </w:rPr>
    </w:lvl>
    <w:lvl w:ilvl="2" w:tplc="C420B7AA" w:tentative="1">
      <w:start w:val="1"/>
      <w:numFmt w:val="bullet"/>
      <w:lvlText w:val=""/>
      <w:lvlJc w:val="left"/>
      <w:pPr>
        <w:ind w:left="2160" w:hanging="360"/>
      </w:pPr>
      <w:rPr>
        <w:rFonts w:ascii="Wingdings" w:hAnsi="Wingdings" w:hint="default"/>
      </w:rPr>
    </w:lvl>
    <w:lvl w:ilvl="3" w:tplc="70088686" w:tentative="1">
      <w:start w:val="1"/>
      <w:numFmt w:val="bullet"/>
      <w:lvlText w:val=""/>
      <w:lvlJc w:val="left"/>
      <w:pPr>
        <w:ind w:left="2880" w:hanging="360"/>
      </w:pPr>
      <w:rPr>
        <w:rFonts w:ascii="Symbol" w:hAnsi="Symbol" w:hint="default"/>
      </w:rPr>
    </w:lvl>
    <w:lvl w:ilvl="4" w:tplc="66FEA190" w:tentative="1">
      <w:start w:val="1"/>
      <w:numFmt w:val="bullet"/>
      <w:lvlText w:val="o"/>
      <w:lvlJc w:val="left"/>
      <w:pPr>
        <w:ind w:left="3600" w:hanging="360"/>
      </w:pPr>
      <w:rPr>
        <w:rFonts w:ascii="Courier New" w:hAnsi="Courier New" w:cs="Courier New" w:hint="default"/>
      </w:rPr>
    </w:lvl>
    <w:lvl w:ilvl="5" w:tplc="A81CCE8A" w:tentative="1">
      <w:start w:val="1"/>
      <w:numFmt w:val="bullet"/>
      <w:lvlText w:val=""/>
      <w:lvlJc w:val="left"/>
      <w:pPr>
        <w:ind w:left="4320" w:hanging="360"/>
      </w:pPr>
      <w:rPr>
        <w:rFonts w:ascii="Wingdings" w:hAnsi="Wingdings" w:hint="default"/>
      </w:rPr>
    </w:lvl>
    <w:lvl w:ilvl="6" w:tplc="34D894F8" w:tentative="1">
      <w:start w:val="1"/>
      <w:numFmt w:val="bullet"/>
      <w:lvlText w:val=""/>
      <w:lvlJc w:val="left"/>
      <w:pPr>
        <w:ind w:left="5040" w:hanging="360"/>
      </w:pPr>
      <w:rPr>
        <w:rFonts w:ascii="Symbol" w:hAnsi="Symbol" w:hint="default"/>
      </w:rPr>
    </w:lvl>
    <w:lvl w:ilvl="7" w:tplc="5A2A5C14" w:tentative="1">
      <w:start w:val="1"/>
      <w:numFmt w:val="bullet"/>
      <w:lvlText w:val="o"/>
      <w:lvlJc w:val="left"/>
      <w:pPr>
        <w:ind w:left="5760" w:hanging="360"/>
      </w:pPr>
      <w:rPr>
        <w:rFonts w:ascii="Courier New" w:hAnsi="Courier New" w:cs="Courier New" w:hint="default"/>
      </w:rPr>
    </w:lvl>
    <w:lvl w:ilvl="8" w:tplc="DC86982A" w:tentative="1">
      <w:start w:val="1"/>
      <w:numFmt w:val="bullet"/>
      <w:lvlText w:val=""/>
      <w:lvlJc w:val="left"/>
      <w:pPr>
        <w:ind w:left="6480" w:hanging="360"/>
      </w:pPr>
      <w:rPr>
        <w:rFonts w:ascii="Wingdings" w:hAnsi="Wingdings" w:hint="default"/>
      </w:rPr>
    </w:lvl>
  </w:abstractNum>
  <w:abstractNum w:abstractNumId="5" w15:restartNumberingAfterBreak="0">
    <w:nsid w:val="7A944A4F"/>
    <w:multiLevelType w:val="hybridMultilevel"/>
    <w:tmpl w:val="22CEBE50"/>
    <w:lvl w:ilvl="0" w:tplc="7D8241B2">
      <w:start w:val="1"/>
      <w:numFmt w:val="lowerRoman"/>
      <w:lvlText w:val="(%1)"/>
      <w:lvlJc w:val="left"/>
      <w:pPr>
        <w:ind w:left="1080" w:hanging="720"/>
      </w:pPr>
      <w:rPr>
        <w:rFonts w:hint="default"/>
      </w:rPr>
    </w:lvl>
    <w:lvl w:ilvl="1" w:tplc="C16E3FDA" w:tentative="1">
      <w:start w:val="1"/>
      <w:numFmt w:val="lowerLetter"/>
      <w:lvlText w:val="%2."/>
      <w:lvlJc w:val="left"/>
      <w:pPr>
        <w:ind w:left="1440" w:hanging="360"/>
      </w:pPr>
    </w:lvl>
    <w:lvl w:ilvl="2" w:tplc="045A41D6" w:tentative="1">
      <w:start w:val="1"/>
      <w:numFmt w:val="lowerRoman"/>
      <w:lvlText w:val="%3."/>
      <w:lvlJc w:val="right"/>
      <w:pPr>
        <w:ind w:left="2160" w:hanging="180"/>
      </w:pPr>
    </w:lvl>
    <w:lvl w:ilvl="3" w:tplc="36DA906C" w:tentative="1">
      <w:start w:val="1"/>
      <w:numFmt w:val="decimal"/>
      <w:lvlText w:val="%4."/>
      <w:lvlJc w:val="left"/>
      <w:pPr>
        <w:ind w:left="2880" w:hanging="360"/>
      </w:pPr>
    </w:lvl>
    <w:lvl w:ilvl="4" w:tplc="F24A9F4E" w:tentative="1">
      <w:start w:val="1"/>
      <w:numFmt w:val="lowerLetter"/>
      <w:lvlText w:val="%5."/>
      <w:lvlJc w:val="left"/>
      <w:pPr>
        <w:ind w:left="3600" w:hanging="360"/>
      </w:pPr>
    </w:lvl>
    <w:lvl w:ilvl="5" w:tplc="03A076B2" w:tentative="1">
      <w:start w:val="1"/>
      <w:numFmt w:val="lowerRoman"/>
      <w:lvlText w:val="%6."/>
      <w:lvlJc w:val="right"/>
      <w:pPr>
        <w:ind w:left="4320" w:hanging="180"/>
      </w:pPr>
    </w:lvl>
    <w:lvl w:ilvl="6" w:tplc="2C8E9990" w:tentative="1">
      <w:start w:val="1"/>
      <w:numFmt w:val="decimal"/>
      <w:lvlText w:val="%7."/>
      <w:lvlJc w:val="left"/>
      <w:pPr>
        <w:ind w:left="5040" w:hanging="360"/>
      </w:pPr>
    </w:lvl>
    <w:lvl w:ilvl="7" w:tplc="A6A0B3EC" w:tentative="1">
      <w:start w:val="1"/>
      <w:numFmt w:val="lowerLetter"/>
      <w:lvlText w:val="%8."/>
      <w:lvlJc w:val="left"/>
      <w:pPr>
        <w:ind w:left="5760" w:hanging="360"/>
      </w:pPr>
    </w:lvl>
    <w:lvl w:ilvl="8" w:tplc="01124942" w:tentative="1">
      <w:start w:val="1"/>
      <w:numFmt w:val="lowerRoman"/>
      <w:lvlText w:val="%9."/>
      <w:lvlJc w:val="right"/>
      <w:pPr>
        <w:ind w:left="6480" w:hanging="180"/>
      </w:pPr>
    </w:lvl>
  </w:abstractNum>
  <w:num w:numId="1" w16cid:durableId="1372537398">
    <w:abstractNumId w:val="1"/>
  </w:num>
  <w:num w:numId="2" w16cid:durableId="827867591">
    <w:abstractNumId w:val="5"/>
  </w:num>
  <w:num w:numId="3" w16cid:durableId="801004432">
    <w:abstractNumId w:val="3"/>
  </w:num>
  <w:num w:numId="4" w16cid:durableId="121850066">
    <w:abstractNumId w:val="0"/>
  </w:num>
  <w:num w:numId="5" w16cid:durableId="1323394271">
    <w:abstractNumId w:val="4"/>
  </w:num>
  <w:num w:numId="6" w16cid:durableId="109990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7C"/>
    <w:rsid w:val="00012AD8"/>
    <w:rsid w:val="00013545"/>
    <w:rsid w:val="00015157"/>
    <w:rsid w:val="00017E54"/>
    <w:rsid w:val="00035437"/>
    <w:rsid w:val="000412A1"/>
    <w:rsid w:val="00045A1E"/>
    <w:rsid w:val="00091FFF"/>
    <w:rsid w:val="000975C6"/>
    <w:rsid w:val="000A19B1"/>
    <w:rsid w:val="000A4432"/>
    <w:rsid w:val="000B04F7"/>
    <w:rsid w:val="000C37EA"/>
    <w:rsid w:val="000E3C3A"/>
    <w:rsid w:val="00103686"/>
    <w:rsid w:val="00104730"/>
    <w:rsid w:val="0012542D"/>
    <w:rsid w:val="001256AE"/>
    <w:rsid w:val="001346F6"/>
    <w:rsid w:val="001407E3"/>
    <w:rsid w:val="001453D9"/>
    <w:rsid w:val="00146D05"/>
    <w:rsid w:val="001478C5"/>
    <w:rsid w:val="001510FB"/>
    <w:rsid w:val="001530A6"/>
    <w:rsid w:val="001720F2"/>
    <w:rsid w:val="00175C69"/>
    <w:rsid w:val="0019141D"/>
    <w:rsid w:val="001A1570"/>
    <w:rsid w:val="001A4E68"/>
    <w:rsid w:val="001B13EB"/>
    <w:rsid w:val="001B1C2F"/>
    <w:rsid w:val="00203212"/>
    <w:rsid w:val="00220A88"/>
    <w:rsid w:val="00220E10"/>
    <w:rsid w:val="002319C7"/>
    <w:rsid w:val="002462DF"/>
    <w:rsid w:val="002473A3"/>
    <w:rsid w:val="00250C4D"/>
    <w:rsid w:val="00252E7E"/>
    <w:rsid w:val="00254F38"/>
    <w:rsid w:val="0025593B"/>
    <w:rsid w:val="002571B9"/>
    <w:rsid w:val="00260872"/>
    <w:rsid w:val="002641AB"/>
    <w:rsid w:val="0027769D"/>
    <w:rsid w:val="00283B80"/>
    <w:rsid w:val="00284163"/>
    <w:rsid w:val="00294978"/>
    <w:rsid w:val="002959E1"/>
    <w:rsid w:val="002E1A59"/>
    <w:rsid w:val="002E4966"/>
    <w:rsid w:val="002E5E0A"/>
    <w:rsid w:val="002F7745"/>
    <w:rsid w:val="00325BC8"/>
    <w:rsid w:val="00326E22"/>
    <w:rsid w:val="0033164A"/>
    <w:rsid w:val="00341EEF"/>
    <w:rsid w:val="003424AD"/>
    <w:rsid w:val="00350C90"/>
    <w:rsid w:val="00354CE1"/>
    <w:rsid w:val="0035612E"/>
    <w:rsid w:val="003745AC"/>
    <w:rsid w:val="00383CA8"/>
    <w:rsid w:val="00395D8D"/>
    <w:rsid w:val="003A5B9D"/>
    <w:rsid w:val="003B12EB"/>
    <w:rsid w:val="003C68FA"/>
    <w:rsid w:val="003E1445"/>
    <w:rsid w:val="003E7FC1"/>
    <w:rsid w:val="003F0A0C"/>
    <w:rsid w:val="0041028C"/>
    <w:rsid w:val="004151F2"/>
    <w:rsid w:val="0041713B"/>
    <w:rsid w:val="0042053C"/>
    <w:rsid w:val="00432E0E"/>
    <w:rsid w:val="004558A2"/>
    <w:rsid w:val="0048166E"/>
    <w:rsid w:val="00485614"/>
    <w:rsid w:val="00492750"/>
    <w:rsid w:val="004B0D75"/>
    <w:rsid w:val="004B465F"/>
    <w:rsid w:val="004D1687"/>
    <w:rsid w:val="004E051F"/>
    <w:rsid w:val="004E707D"/>
    <w:rsid w:val="004F0B15"/>
    <w:rsid w:val="0051185F"/>
    <w:rsid w:val="00511941"/>
    <w:rsid w:val="005324D2"/>
    <w:rsid w:val="00540C2B"/>
    <w:rsid w:val="005439F1"/>
    <w:rsid w:val="005623A1"/>
    <w:rsid w:val="00570448"/>
    <w:rsid w:val="005735DA"/>
    <w:rsid w:val="005804D7"/>
    <w:rsid w:val="005B0C03"/>
    <w:rsid w:val="005B7D1E"/>
    <w:rsid w:val="005E1D0B"/>
    <w:rsid w:val="005F241D"/>
    <w:rsid w:val="005F6C0F"/>
    <w:rsid w:val="0060705D"/>
    <w:rsid w:val="00613FBC"/>
    <w:rsid w:val="006435A9"/>
    <w:rsid w:val="0064653C"/>
    <w:rsid w:val="0064711D"/>
    <w:rsid w:val="006615D7"/>
    <w:rsid w:val="00671851"/>
    <w:rsid w:val="00680694"/>
    <w:rsid w:val="00692A33"/>
    <w:rsid w:val="006C2A16"/>
    <w:rsid w:val="006E3684"/>
    <w:rsid w:val="006F50CA"/>
    <w:rsid w:val="007013FB"/>
    <w:rsid w:val="00704FB1"/>
    <w:rsid w:val="00705AA3"/>
    <w:rsid w:val="007233C7"/>
    <w:rsid w:val="00737508"/>
    <w:rsid w:val="007528F2"/>
    <w:rsid w:val="00754D01"/>
    <w:rsid w:val="0075521E"/>
    <w:rsid w:val="007653F3"/>
    <w:rsid w:val="00774DA0"/>
    <w:rsid w:val="007871A0"/>
    <w:rsid w:val="007A7046"/>
    <w:rsid w:val="007C5B2B"/>
    <w:rsid w:val="007D05D4"/>
    <w:rsid w:val="007D1B02"/>
    <w:rsid w:val="007F29EC"/>
    <w:rsid w:val="008033B1"/>
    <w:rsid w:val="00815B0D"/>
    <w:rsid w:val="00820C4E"/>
    <w:rsid w:val="00826382"/>
    <w:rsid w:val="008309FE"/>
    <w:rsid w:val="00830EFE"/>
    <w:rsid w:val="00856602"/>
    <w:rsid w:val="008742DD"/>
    <w:rsid w:val="00874CA7"/>
    <w:rsid w:val="008925D8"/>
    <w:rsid w:val="008C59E4"/>
    <w:rsid w:val="008D6AB0"/>
    <w:rsid w:val="008E7515"/>
    <w:rsid w:val="008F34DF"/>
    <w:rsid w:val="008F3945"/>
    <w:rsid w:val="00906190"/>
    <w:rsid w:val="00921654"/>
    <w:rsid w:val="009422E3"/>
    <w:rsid w:val="009479E0"/>
    <w:rsid w:val="00964116"/>
    <w:rsid w:val="009735EA"/>
    <w:rsid w:val="009D31E9"/>
    <w:rsid w:val="009D4D38"/>
    <w:rsid w:val="00A00C9D"/>
    <w:rsid w:val="00A27CA9"/>
    <w:rsid w:val="00A3020F"/>
    <w:rsid w:val="00A3536B"/>
    <w:rsid w:val="00A57014"/>
    <w:rsid w:val="00A70259"/>
    <w:rsid w:val="00A71155"/>
    <w:rsid w:val="00A9194B"/>
    <w:rsid w:val="00AA4012"/>
    <w:rsid w:val="00AD430C"/>
    <w:rsid w:val="00AD6E0C"/>
    <w:rsid w:val="00AF058C"/>
    <w:rsid w:val="00AF70F4"/>
    <w:rsid w:val="00B227D6"/>
    <w:rsid w:val="00B2608C"/>
    <w:rsid w:val="00B3547F"/>
    <w:rsid w:val="00B363AE"/>
    <w:rsid w:val="00B37384"/>
    <w:rsid w:val="00B771E4"/>
    <w:rsid w:val="00B95447"/>
    <w:rsid w:val="00BB16B6"/>
    <w:rsid w:val="00BD0971"/>
    <w:rsid w:val="00BE6315"/>
    <w:rsid w:val="00BF1728"/>
    <w:rsid w:val="00C03250"/>
    <w:rsid w:val="00C15A78"/>
    <w:rsid w:val="00C2259E"/>
    <w:rsid w:val="00C239CC"/>
    <w:rsid w:val="00C348D9"/>
    <w:rsid w:val="00C41D7F"/>
    <w:rsid w:val="00C46CDB"/>
    <w:rsid w:val="00C86E30"/>
    <w:rsid w:val="00CB6D7C"/>
    <w:rsid w:val="00CC3FA8"/>
    <w:rsid w:val="00CF056D"/>
    <w:rsid w:val="00D0523C"/>
    <w:rsid w:val="00D179E0"/>
    <w:rsid w:val="00D2174C"/>
    <w:rsid w:val="00D22BB1"/>
    <w:rsid w:val="00D5388D"/>
    <w:rsid w:val="00D54CBD"/>
    <w:rsid w:val="00D620C1"/>
    <w:rsid w:val="00D8366E"/>
    <w:rsid w:val="00D908C4"/>
    <w:rsid w:val="00D972CF"/>
    <w:rsid w:val="00DA1CE3"/>
    <w:rsid w:val="00DB00D2"/>
    <w:rsid w:val="00DB716A"/>
    <w:rsid w:val="00DD5480"/>
    <w:rsid w:val="00E069DC"/>
    <w:rsid w:val="00E115D1"/>
    <w:rsid w:val="00E270FD"/>
    <w:rsid w:val="00E44562"/>
    <w:rsid w:val="00E52A88"/>
    <w:rsid w:val="00E56FD9"/>
    <w:rsid w:val="00E64F89"/>
    <w:rsid w:val="00E66648"/>
    <w:rsid w:val="00E72DF7"/>
    <w:rsid w:val="00E72F77"/>
    <w:rsid w:val="00E7432D"/>
    <w:rsid w:val="00E77637"/>
    <w:rsid w:val="00E87775"/>
    <w:rsid w:val="00E93383"/>
    <w:rsid w:val="00EA66DE"/>
    <w:rsid w:val="00EC10E8"/>
    <w:rsid w:val="00EC73C4"/>
    <w:rsid w:val="00ED6B09"/>
    <w:rsid w:val="00EE3F87"/>
    <w:rsid w:val="00EF19FB"/>
    <w:rsid w:val="00F03360"/>
    <w:rsid w:val="00F334B8"/>
    <w:rsid w:val="00F52BCD"/>
    <w:rsid w:val="00F6179F"/>
    <w:rsid w:val="00F66EA8"/>
    <w:rsid w:val="00F92E11"/>
    <w:rsid w:val="00FB0B0A"/>
    <w:rsid w:val="00FB2071"/>
    <w:rsid w:val="00FC3984"/>
    <w:rsid w:val="00FC754B"/>
    <w:rsid w:val="00FD1B34"/>
    <w:rsid w:val="00FD4A40"/>
    <w:rsid w:val="00FD563C"/>
    <w:rsid w:val="00FE221D"/>
    <w:rsid w:val="00FE74E9"/>
    <w:rsid w:val="00FF41D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A4E68"/>
  </w:style>
  <w:style w:type="paragraph" w:styleId="Titre1">
    <w:name w:val="heading 1"/>
    <w:basedOn w:val="Normal"/>
    <w:next w:val="Normal"/>
    <w:link w:val="Titre1Car"/>
    <w:uiPriority w:val="9"/>
    <w:qFormat/>
    <w:rsid w:val="00CB6D7C"/>
    <w:pPr>
      <w:keepNext/>
      <w:keepLines/>
      <w:spacing w:before="240" w:after="0"/>
      <w:outlineLvl w:val="0"/>
    </w:pPr>
    <w:rPr>
      <w:rFonts w:asciiTheme="majorHAnsi" w:eastAsiaTheme="majorEastAsia" w:hAnsiTheme="majorHAnsi" w:cstheme="majorBidi"/>
      <w:color w:val="0077AA" w:themeColor="accent1" w:themeShade="BF"/>
      <w:sz w:val="32"/>
      <w:szCs w:val="32"/>
    </w:rPr>
  </w:style>
  <w:style w:type="paragraph" w:styleId="Titre2">
    <w:name w:val="heading 2"/>
    <w:basedOn w:val="Normal"/>
    <w:next w:val="Normal"/>
    <w:link w:val="Titre2Car"/>
    <w:uiPriority w:val="9"/>
    <w:unhideWhenUsed/>
    <w:qFormat/>
    <w:rsid w:val="00CB6D7C"/>
    <w:pPr>
      <w:keepNext/>
      <w:keepLines/>
      <w:spacing w:before="40" w:after="0"/>
      <w:outlineLvl w:val="1"/>
    </w:pPr>
    <w:rPr>
      <w:rFonts w:asciiTheme="majorHAnsi" w:eastAsiaTheme="majorEastAsia" w:hAnsiTheme="majorHAnsi" w:cstheme="majorBidi"/>
      <w:color w:val="0077AA"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6D7C"/>
    <w:rPr>
      <w:rFonts w:asciiTheme="majorHAnsi" w:eastAsiaTheme="majorEastAsia" w:hAnsiTheme="majorHAnsi" w:cstheme="majorBidi"/>
      <w:color w:val="0077AA" w:themeColor="accent1" w:themeShade="BF"/>
      <w:sz w:val="26"/>
      <w:szCs w:val="26"/>
    </w:rPr>
  </w:style>
  <w:style w:type="character" w:customStyle="1" w:styleId="Titre1Car">
    <w:name w:val="Titre 1 Car"/>
    <w:basedOn w:val="Policepardfaut"/>
    <w:link w:val="Titre1"/>
    <w:uiPriority w:val="9"/>
    <w:rsid w:val="00CB6D7C"/>
    <w:rPr>
      <w:rFonts w:asciiTheme="majorHAnsi" w:eastAsiaTheme="majorEastAsia" w:hAnsiTheme="majorHAnsi" w:cstheme="majorBidi"/>
      <w:color w:val="0077AA" w:themeColor="accent1" w:themeShade="BF"/>
      <w:sz w:val="32"/>
      <w:szCs w:val="32"/>
    </w:rPr>
  </w:style>
  <w:style w:type="paragraph" w:styleId="Paragraphedeliste">
    <w:name w:val="List Paragraph"/>
    <w:aliases w:val="1st level - Bullet List Paragraph,Bullet list,Dot pt,EC,Lettre d'introduction,List Paragraph1,List Paragraph11,Medium Grid 1 - Accent 21,Normal bullet 2,Numbered List,Paragrafo elenco,Paragraphe EI,Paragraphe de liste1"/>
    <w:basedOn w:val="Normal"/>
    <w:link w:val="ParagraphedelisteCar"/>
    <w:uiPriority w:val="34"/>
    <w:qFormat/>
    <w:rsid w:val="002473A3"/>
    <w:pPr>
      <w:ind w:left="720"/>
      <w:contextualSpacing/>
    </w:pPr>
  </w:style>
  <w:style w:type="table" w:styleId="Grilledutableau">
    <w:name w:val="Table Grid"/>
    <w:basedOn w:val="Tableau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1st level - Bullet List Paragraph Car,Bullet list Car,Dot pt Car,EC Car,Lettre d'introduction Car,List Paragraph1 Car,List Paragraph11 Car,Medium Grid 1 - Accent 21 Car,Normal bullet 2 Car,Numbered List Car,Paragrafo elenco Car"/>
    <w:basedOn w:val="Policepardfaut"/>
    <w:link w:val="Paragraphedeliste"/>
    <w:uiPriority w:val="34"/>
    <w:qFormat/>
    <w:locked/>
    <w:rsid w:val="00F03360"/>
  </w:style>
  <w:style w:type="paragraph" w:styleId="En-tte">
    <w:name w:val="header"/>
    <w:basedOn w:val="Normal"/>
    <w:link w:val="En-tteCar"/>
    <w:uiPriority w:val="99"/>
    <w:unhideWhenUsed/>
    <w:rsid w:val="00E93383"/>
    <w:pPr>
      <w:tabs>
        <w:tab w:val="center" w:pos="4536"/>
        <w:tab w:val="right" w:pos="9072"/>
      </w:tabs>
      <w:spacing w:after="0" w:line="240" w:lineRule="auto"/>
    </w:pPr>
  </w:style>
  <w:style w:type="character" w:customStyle="1" w:styleId="En-tteCar">
    <w:name w:val="En-tête Car"/>
    <w:basedOn w:val="Policepardfaut"/>
    <w:link w:val="En-tte"/>
    <w:uiPriority w:val="99"/>
    <w:rsid w:val="00E93383"/>
  </w:style>
  <w:style w:type="paragraph" w:styleId="Pieddepage">
    <w:name w:val="footer"/>
    <w:basedOn w:val="Normal"/>
    <w:link w:val="PieddepageCar"/>
    <w:uiPriority w:val="99"/>
    <w:unhideWhenUsed/>
    <w:rsid w:val="00E93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383"/>
  </w:style>
  <w:style w:type="paragraph" w:customStyle="1" w:styleId="AMNormal">
    <w:name w:val="A&amp;M Normal"/>
    <w:qFormat/>
    <w:rsid w:val="000A4432"/>
    <w:pPr>
      <w:spacing w:before="280" w:after="280" w:line="269" w:lineRule="auto"/>
      <w:jc w:val="both"/>
    </w:pPr>
    <w:rPr>
      <w:rFonts w:ascii="Arial" w:eastAsia="Times New Roman" w:hAnsi="Arial" w:cs="Times New Roman"/>
      <w:bCs/>
      <w:sz w:val="20"/>
      <w:szCs w:val="20"/>
      <w:lang w:val="en-GB" w:eastAsia="fr-BE"/>
    </w:rPr>
  </w:style>
  <w:style w:type="table" w:styleId="Tableausimple2">
    <w:name w:val="Plain Table 2"/>
    <w:basedOn w:val="TableauNormal"/>
    <w:uiPriority w:val="42"/>
    <w:rsid w:val="000A4432"/>
    <w:pPr>
      <w:spacing w:after="0" w:line="240" w:lineRule="auto"/>
    </w:pPr>
    <w:tblPr>
      <w:tblStyleRowBandSize w:val="1"/>
      <w:tblStyleColBandSize w:val="1"/>
      <w:tblBorders>
        <w:top w:val="single" w:sz="4" w:space="0" w:color="31ACFF" w:themeColor="text1" w:themeTint="80"/>
        <w:bottom w:val="single" w:sz="4" w:space="0" w:color="31ACFF" w:themeColor="text1" w:themeTint="80"/>
      </w:tblBorders>
    </w:tblPr>
    <w:tblStylePr w:type="firstRow">
      <w:rPr>
        <w:b/>
        <w:bCs/>
      </w:rPr>
      <w:tblPr/>
      <w:tcPr>
        <w:tcBorders>
          <w:bottom w:val="single" w:sz="4" w:space="0" w:color="31ACFF" w:themeColor="text1" w:themeTint="80"/>
        </w:tcBorders>
      </w:tcPr>
    </w:tblStylePr>
    <w:tblStylePr w:type="lastRow">
      <w:rPr>
        <w:b/>
        <w:bCs/>
      </w:rPr>
      <w:tblPr/>
      <w:tcPr>
        <w:tcBorders>
          <w:top w:val="single" w:sz="4" w:space="0" w:color="31ACFF" w:themeColor="text1" w:themeTint="80"/>
        </w:tcBorders>
      </w:tcPr>
    </w:tblStylePr>
    <w:tblStylePr w:type="firstCol">
      <w:rPr>
        <w:b/>
        <w:bCs/>
      </w:rPr>
    </w:tblStylePr>
    <w:tblStylePr w:type="lastCol">
      <w:rPr>
        <w:b/>
        <w:bCs/>
      </w:rPr>
    </w:tblStylePr>
    <w:tblStylePr w:type="band1Vert">
      <w:tblPr/>
      <w:tcPr>
        <w:tcBorders>
          <w:left w:val="single" w:sz="4" w:space="0" w:color="31ACFF" w:themeColor="text1" w:themeTint="80"/>
          <w:right w:val="single" w:sz="4" w:space="0" w:color="31ACFF" w:themeColor="text1" w:themeTint="80"/>
        </w:tcBorders>
      </w:tcPr>
    </w:tblStylePr>
    <w:tblStylePr w:type="band2Vert">
      <w:tblPr/>
      <w:tcPr>
        <w:tcBorders>
          <w:left w:val="single" w:sz="4" w:space="0" w:color="31ACFF" w:themeColor="text1" w:themeTint="80"/>
          <w:right w:val="single" w:sz="4" w:space="0" w:color="31ACFF" w:themeColor="text1" w:themeTint="80"/>
        </w:tcBorders>
      </w:tcPr>
    </w:tblStylePr>
    <w:tblStylePr w:type="band1Horz">
      <w:tblPr/>
      <w:tcPr>
        <w:tcBorders>
          <w:top w:val="single" w:sz="4" w:space="0" w:color="31ACFF" w:themeColor="text1" w:themeTint="80"/>
          <w:bottom w:val="single" w:sz="4" w:space="0" w:color="31ACFF" w:themeColor="text1" w:themeTint="80"/>
        </w:tcBorders>
      </w:tcPr>
    </w:tblStylePr>
  </w:style>
  <w:style w:type="character" w:customStyle="1" w:styleId="ui-provider">
    <w:name w:val="ui-provider"/>
    <w:basedOn w:val="Policepardfaut"/>
    <w:rsid w:val="00492750"/>
  </w:style>
  <w:style w:type="character" w:styleId="Lienhypertexte">
    <w:name w:val="Hyperlink"/>
    <w:basedOn w:val="Policepardfaut"/>
    <w:uiPriority w:val="99"/>
    <w:unhideWhenUsed/>
    <w:rsid w:val="00D8366E"/>
    <w:rPr>
      <w:color w:val="00C2F0" w:themeColor="hyperlink"/>
      <w:u w:val="single"/>
    </w:rPr>
  </w:style>
  <w:style w:type="character" w:styleId="Mentionnonrsolue">
    <w:name w:val="Unresolved Mention"/>
    <w:basedOn w:val="Policepardfaut"/>
    <w:uiPriority w:val="99"/>
    <w:rsid w:val="00D8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967326">
      <w:bodyDiv w:val="1"/>
      <w:marLeft w:val="0"/>
      <w:marRight w:val="0"/>
      <w:marTop w:val="0"/>
      <w:marBottom w:val="0"/>
      <w:divBdr>
        <w:top w:val="none" w:sz="0" w:space="0" w:color="auto"/>
        <w:left w:val="none" w:sz="0" w:space="0" w:color="auto"/>
        <w:bottom w:val="none" w:sz="0" w:space="0" w:color="auto"/>
        <w:right w:val="none" w:sz="0" w:space="0" w:color="auto"/>
      </w:divBdr>
    </w:div>
    <w:div w:id="1818952471">
      <w:bodyDiv w:val="1"/>
      <w:marLeft w:val="0"/>
      <w:marRight w:val="0"/>
      <w:marTop w:val="0"/>
      <w:marBottom w:val="0"/>
      <w:divBdr>
        <w:top w:val="none" w:sz="0" w:space="0" w:color="auto"/>
        <w:left w:val="none" w:sz="0" w:space="0" w:color="auto"/>
        <w:bottom w:val="none" w:sz="0" w:space="0" w:color="auto"/>
        <w:right w:val="none" w:sz="0" w:space="0" w:color="auto"/>
      </w:divBdr>
      <w:divsChild>
        <w:div w:id="2129199508">
          <w:marLeft w:val="0"/>
          <w:marRight w:val="0"/>
          <w:marTop w:val="0"/>
          <w:marBottom w:val="0"/>
          <w:divBdr>
            <w:top w:val="none" w:sz="0" w:space="0" w:color="auto"/>
            <w:left w:val="none" w:sz="0" w:space="0" w:color="auto"/>
            <w:bottom w:val="none" w:sz="0" w:space="0" w:color="auto"/>
            <w:right w:val="none" w:sz="0" w:space="0" w:color="auto"/>
          </w:divBdr>
          <w:divsChild>
            <w:div w:id="5551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9997">
      <w:bodyDiv w:val="1"/>
      <w:marLeft w:val="0"/>
      <w:marRight w:val="0"/>
      <w:marTop w:val="0"/>
      <w:marBottom w:val="0"/>
      <w:divBdr>
        <w:top w:val="none" w:sz="0" w:space="0" w:color="auto"/>
        <w:left w:val="none" w:sz="0" w:space="0" w:color="auto"/>
        <w:bottom w:val="none" w:sz="0" w:space="0" w:color="auto"/>
        <w:right w:val="none" w:sz="0" w:space="0" w:color="auto"/>
      </w:divBdr>
      <w:divsChild>
        <w:div w:id="1647735530">
          <w:marLeft w:val="0"/>
          <w:marRight w:val="0"/>
          <w:marTop w:val="0"/>
          <w:marBottom w:val="0"/>
          <w:divBdr>
            <w:top w:val="none" w:sz="0" w:space="0" w:color="auto"/>
            <w:left w:val="none" w:sz="0" w:space="0" w:color="auto"/>
            <w:bottom w:val="none" w:sz="0" w:space="0" w:color="auto"/>
            <w:right w:val="none" w:sz="0" w:space="0" w:color="auto"/>
          </w:divBdr>
          <w:divsChild>
            <w:div w:id="9687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352">
      <w:bodyDiv w:val="1"/>
      <w:marLeft w:val="0"/>
      <w:marRight w:val="0"/>
      <w:marTop w:val="0"/>
      <w:marBottom w:val="0"/>
      <w:divBdr>
        <w:top w:val="none" w:sz="0" w:space="0" w:color="auto"/>
        <w:left w:val="none" w:sz="0" w:space="0" w:color="auto"/>
        <w:bottom w:val="none" w:sz="0" w:space="0" w:color="auto"/>
        <w:right w:val="none" w:sz="0" w:space="0" w:color="auto"/>
      </w:divBdr>
    </w:div>
    <w:div w:id="2035769987">
      <w:bodyDiv w:val="1"/>
      <w:marLeft w:val="0"/>
      <w:marRight w:val="0"/>
      <w:marTop w:val="0"/>
      <w:marBottom w:val="0"/>
      <w:divBdr>
        <w:top w:val="none" w:sz="0" w:space="0" w:color="auto"/>
        <w:left w:val="none" w:sz="0" w:space="0" w:color="auto"/>
        <w:bottom w:val="none" w:sz="0" w:space="0" w:color="auto"/>
        <w:right w:val="none" w:sz="0" w:space="0" w:color="auto"/>
      </w:divBdr>
      <w:divsChild>
        <w:div w:id="1882783752">
          <w:marLeft w:val="0"/>
          <w:marRight w:val="0"/>
          <w:marTop w:val="0"/>
          <w:marBottom w:val="0"/>
          <w:divBdr>
            <w:top w:val="none" w:sz="0" w:space="0" w:color="auto"/>
            <w:left w:val="none" w:sz="0" w:space="0" w:color="auto"/>
            <w:bottom w:val="none" w:sz="0" w:space="0" w:color="auto"/>
            <w:right w:val="none" w:sz="0" w:space="0" w:color="auto"/>
          </w:divBdr>
          <w:divsChild>
            <w:div w:id="16140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irls1">
      <a:dk1>
        <a:srgbClr val="003C64"/>
      </a:dk1>
      <a:lt1>
        <a:srgbClr val="FFFFFF"/>
      </a:lt1>
      <a:dk2>
        <a:srgbClr val="646464"/>
      </a:dk2>
      <a:lt2>
        <a:srgbClr val="E7E6E6"/>
      </a:lt2>
      <a:accent1>
        <a:srgbClr val="00A0E3"/>
      </a:accent1>
      <a:accent2>
        <a:srgbClr val="004F9F"/>
      </a:accent2>
      <a:accent3>
        <a:srgbClr val="38B2B6"/>
      </a:accent3>
      <a:accent4>
        <a:srgbClr val="E6325E"/>
      </a:accent4>
      <a:accent5>
        <a:srgbClr val="F07D00"/>
      </a:accent5>
      <a:accent6>
        <a:srgbClr val="C19134"/>
      </a:accent6>
      <a:hlink>
        <a:srgbClr val="00C2F0"/>
      </a:hlink>
      <a:folHlink>
        <a:srgbClr val="4571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2740</Words>
  <Characters>16250</Characters>
  <Application>Microsoft Office Word</Application>
  <DocSecurity>0</DocSecurity>
  <Lines>955</Lines>
  <Paragraphs>654</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Mohamadou Alexandre (AMUNDI)</cp:lastModifiedBy>
  <cp:revision>187</cp:revision>
  <dcterms:created xsi:type="dcterms:W3CDTF">2022-11-23T07:47:00Z</dcterms:created>
  <dcterms:modified xsi:type="dcterms:W3CDTF">2025-04-25T16:08:00Z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