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3739119A" w:rsidR="005E1D0B" w:rsidRPr="00CC4F8C" w:rsidRDefault="00CC4F8C" w:rsidP="003D7A6E">
            <w:pPr>
              <w:ind w:left="-101" w:right="-851"/>
              <w:jc w:val="both"/>
              <w:rPr>
                <w:lang w:val="en-US"/>
              </w:rPr>
            </w:pPr>
            <w:r w:rsidRPr="00CC4F8C">
              <w:rPr>
                <w:lang w:val="en-US"/>
              </w:rPr>
              <w:t>Amundi EUR Corporate Bond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65562EF" w:rsidR="005E1D0B" w:rsidRPr="007528F2" w:rsidRDefault="00C60B36" w:rsidP="003F0A0C">
            <w:pPr>
              <w:ind w:right="-851"/>
              <w:rPr>
                <w:lang w:val="it-IT"/>
              </w:rPr>
            </w:pPr>
            <w:r w:rsidRPr="00C60B36">
              <w:rPr>
                <w:lang w:val="it-IT"/>
              </w:rPr>
              <w:t>5493006LD608VBS18F78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E3D5330" w14:textId="70C66A2D" w:rsidR="006051F9" w:rsidRPr="006051F9" w:rsidRDefault="006051F9" w:rsidP="006051F9">
      <w:pPr>
        <w:jc w:val="both"/>
        <w:rPr>
          <w:lang w:val="en-IE"/>
        </w:rPr>
      </w:pPr>
      <w:r w:rsidRPr="006051F9">
        <w:rPr>
          <w:lang w:val="en-IE"/>
        </w:rPr>
        <w:t>The Sub-Fund promotes environmental and/or social characteristics through among others,</w:t>
      </w:r>
      <w:r>
        <w:rPr>
          <w:lang w:val="en-IE"/>
        </w:rPr>
        <w:t xml:space="preserve"> </w:t>
      </w:r>
      <w:r w:rsidRPr="006051F9">
        <w:rPr>
          <w:lang w:val="en-IE"/>
        </w:rPr>
        <w:t>replicating an Index that is meeting the minimum standards for EU Paris Aligned</w:t>
      </w:r>
      <w:r>
        <w:rPr>
          <w:lang w:val="en-IE"/>
        </w:rPr>
        <w:t xml:space="preserve"> </w:t>
      </w:r>
      <w:r w:rsidRPr="006051F9">
        <w:rPr>
          <w:lang w:val="en-IE"/>
        </w:rPr>
        <w:t>Benchmarks (EU PABs) under Regulation (EU) 2019/2089 amending Regulation (EU)</w:t>
      </w:r>
      <w:r>
        <w:rPr>
          <w:lang w:val="en-IE"/>
        </w:rPr>
        <w:t xml:space="preserve"> </w:t>
      </w:r>
      <w:r w:rsidRPr="006051F9">
        <w:rPr>
          <w:lang w:val="en-IE"/>
        </w:rPr>
        <w:t>2016/1011. The law proposes the definitions of minimum standards for the methodology</w:t>
      </w:r>
      <w:r>
        <w:rPr>
          <w:lang w:val="en-IE"/>
        </w:rPr>
        <w:t xml:space="preserve"> </w:t>
      </w:r>
      <w:r w:rsidRPr="006051F9">
        <w:rPr>
          <w:lang w:val="en-IE"/>
        </w:rPr>
        <w:t>of any ‘EU Paris Aligned’ benchmark indices that would be aligned with the objectives of the</w:t>
      </w:r>
      <w:r>
        <w:rPr>
          <w:lang w:val="en-IE"/>
        </w:rPr>
        <w:t xml:space="preserve"> </w:t>
      </w:r>
      <w:r w:rsidRPr="006051F9">
        <w:rPr>
          <w:lang w:val="en-IE"/>
        </w:rPr>
        <w:t>Paris Agreement. The Index methodology align with certain criteria such as:</w:t>
      </w:r>
    </w:p>
    <w:p w14:paraId="61AD1953" w14:textId="77777777" w:rsidR="006051F9" w:rsidRPr="006051F9" w:rsidRDefault="006051F9" w:rsidP="006051F9">
      <w:pPr>
        <w:jc w:val="both"/>
        <w:rPr>
          <w:lang w:val="en-IE"/>
        </w:rPr>
      </w:pPr>
      <w:r w:rsidRPr="006051F9">
        <w:rPr>
          <w:lang w:val="en-IE"/>
        </w:rPr>
        <w:t>- A minimum reduction in Greenhouse Gas (GHG) emissions relative to Parent Index of 50%.</w:t>
      </w:r>
    </w:p>
    <w:p w14:paraId="1F7CB981" w14:textId="7ED9447E" w:rsidR="008F0E0A" w:rsidRDefault="006051F9" w:rsidP="006051F9">
      <w:pPr>
        <w:jc w:val="both"/>
        <w:rPr>
          <w:lang w:val="en-IE"/>
        </w:rPr>
      </w:pPr>
      <w:r w:rsidRPr="006051F9">
        <w:rPr>
          <w:lang w:val="en-IE"/>
        </w:rPr>
        <w:t>- A minimum self-decarbonization rate of GHG emissions in accordance with the trajectory</w:t>
      </w:r>
      <w:r>
        <w:rPr>
          <w:lang w:val="en-IE"/>
        </w:rPr>
        <w:t xml:space="preserve"> </w:t>
      </w:r>
      <w:r w:rsidRPr="006051F9">
        <w:rPr>
          <w:lang w:val="en-IE"/>
        </w:rPr>
        <w:t>implied by Intergovernmental Panel on Climate Change’s (IPCC) most ambitious 1.5ºC</w:t>
      </w:r>
      <w:r>
        <w:rPr>
          <w:lang w:val="en-IE"/>
        </w:rPr>
        <w:t xml:space="preserve"> </w:t>
      </w:r>
      <w:r w:rsidRPr="006051F9">
        <w:rPr>
          <w:lang w:val="en-IE"/>
        </w:rPr>
        <w:t>scenario, equating to at least 7% GHG intensity reduction on average per annum.</w:t>
      </w:r>
    </w:p>
    <w:p w14:paraId="7E482E69" w14:textId="77777777" w:rsidR="00D456FB" w:rsidRPr="00A3536B" w:rsidRDefault="00D456FB"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39EFA066" w14:textId="2EE584A0" w:rsidR="001F74CA" w:rsidRDefault="001F74CA" w:rsidP="001F74CA">
      <w:pPr>
        <w:jc w:val="both"/>
        <w:rPr>
          <w:lang w:val="en-US"/>
        </w:rPr>
      </w:pPr>
      <w:r w:rsidRPr="001F74CA">
        <w:rPr>
          <w:lang w:val="en-US"/>
        </w:rPr>
        <w:t>The Sub-Fund tracks the performance of Bloomberg MSCI Euro Corporate Paris Aligned Green</w:t>
      </w:r>
      <w:r>
        <w:rPr>
          <w:lang w:val="en-US"/>
        </w:rPr>
        <w:t xml:space="preserve"> </w:t>
      </w:r>
      <w:r w:rsidRPr="001F74CA">
        <w:rPr>
          <w:lang w:val="en-US"/>
        </w:rPr>
        <w:t>Tilted Index (the "Index"), and to minimize the tracking error between the net asset value of</w:t>
      </w:r>
      <w:r>
        <w:rPr>
          <w:lang w:val="en-US"/>
        </w:rPr>
        <w:t xml:space="preserve"> </w:t>
      </w:r>
      <w:r w:rsidRPr="001F74CA">
        <w:rPr>
          <w:lang w:val="en-US"/>
        </w:rPr>
        <w:t>the sub-fund and the performance of the Index. Bloomberg MSCI Euro Corporate Paris</w:t>
      </w:r>
      <w:r>
        <w:rPr>
          <w:lang w:val="en-US"/>
        </w:rPr>
        <w:t xml:space="preserve"> </w:t>
      </w:r>
      <w:r w:rsidRPr="001F74CA">
        <w:rPr>
          <w:lang w:val="en-US"/>
        </w:rPr>
        <w:t>Aligned Green Tilted Index is constructed from the Bloomberg Euro Corporate Index (the</w:t>
      </w:r>
      <w:r>
        <w:rPr>
          <w:lang w:val="en-US"/>
        </w:rPr>
        <w:t xml:space="preserve"> </w:t>
      </w:r>
      <w:r w:rsidRPr="001F74CA">
        <w:rPr>
          <w:lang w:val="en-US"/>
        </w:rPr>
        <w:t>“Parent Index”) and intends to be representative of the Euro denominated investment grade</w:t>
      </w:r>
      <w:r>
        <w:rPr>
          <w:lang w:val="en-US"/>
        </w:rPr>
        <w:t xml:space="preserve"> </w:t>
      </w:r>
      <w:r w:rsidRPr="001F74CA">
        <w:rPr>
          <w:lang w:val="en-US"/>
        </w:rPr>
        <w:t>corporate bond market while meeting and exceeding the minimum standards of the EU PAB.</w:t>
      </w:r>
      <w:r>
        <w:rPr>
          <w:lang w:val="en-US"/>
        </w:rPr>
        <w:t xml:space="preserve"> </w:t>
      </w:r>
      <w:r w:rsidRPr="001F74CA">
        <w:rPr>
          <w:lang w:val="en-US"/>
        </w:rPr>
        <w:t>The index uses an optimization approach that aims to minimize the active total risk with</w:t>
      </w:r>
      <w:r>
        <w:rPr>
          <w:lang w:val="en-US"/>
        </w:rPr>
        <w:t xml:space="preserve"> </w:t>
      </w:r>
      <w:r w:rsidRPr="001F74CA">
        <w:rPr>
          <w:lang w:val="en-US"/>
        </w:rPr>
        <w:t>respect to the Parent Index under constraints.</w:t>
      </w:r>
    </w:p>
    <w:p w14:paraId="26893E7A" w14:textId="77777777" w:rsidR="001F74CA" w:rsidRDefault="001F74CA" w:rsidP="001F74CA">
      <w:pPr>
        <w:jc w:val="both"/>
        <w:rPr>
          <w:lang w:val="en-US"/>
        </w:rPr>
      </w:pPr>
      <w:r w:rsidRPr="001F74CA">
        <w:rPr>
          <w:lang w:val="en-US"/>
        </w:rPr>
        <w:t>This is a passively managed ETF. Its investment strategy is to replicate the Index while minimizing the</w:t>
      </w:r>
      <w:r>
        <w:rPr>
          <w:lang w:val="en-US"/>
        </w:rPr>
        <w:t xml:space="preserve"> </w:t>
      </w:r>
      <w:r w:rsidRPr="001F74CA">
        <w:rPr>
          <w:lang w:val="en-US"/>
        </w:rPr>
        <w:t>related tracking error. More precisely, Bloomberg MSCI Euro Corporate Paris Aligned Green Tilted</w:t>
      </w:r>
      <w:r>
        <w:rPr>
          <w:lang w:val="en-US"/>
        </w:rPr>
        <w:t xml:space="preserve"> </w:t>
      </w:r>
      <w:r w:rsidRPr="001F74CA">
        <w:rPr>
          <w:lang w:val="en-US"/>
        </w:rPr>
        <w:t>Index intends to be representative of the Euro denominated investment grade corporate bond market</w:t>
      </w:r>
      <w:r>
        <w:rPr>
          <w:lang w:val="en-US"/>
        </w:rPr>
        <w:t xml:space="preserve"> </w:t>
      </w:r>
      <w:r w:rsidRPr="001F74CA">
        <w:rPr>
          <w:lang w:val="en-US"/>
        </w:rPr>
        <w:lastRenderedPageBreak/>
        <w:t>while meeting and exceeding the minimum standards of the EU PAB. The Index uses an optimization</w:t>
      </w:r>
      <w:r>
        <w:rPr>
          <w:lang w:val="en-US"/>
        </w:rPr>
        <w:t xml:space="preserve"> </w:t>
      </w:r>
      <w:r w:rsidRPr="001F74CA">
        <w:rPr>
          <w:lang w:val="en-US"/>
        </w:rPr>
        <w:t>approach that aims to minimize the active total risk with respect to the Parent Index under constraints.</w:t>
      </w:r>
    </w:p>
    <w:p w14:paraId="7DDF8DFB" w14:textId="326CC511" w:rsidR="001F74CA" w:rsidRPr="001F74CA" w:rsidRDefault="001F74CA" w:rsidP="001F74CA">
      <w:pPr>
        <w:jc w:val="both"/>
        <w:rPr>
          <w:lang w:val="en-US"/>
        </w:rPr>
      </w:pPr>
      <w:r w:rsidRPr="001F74CA">
        <w:rPr>
          <w:lang w:val="en-US"/>
        </w:rPr>
        <w:t>Among the universe of Euro denominated investment grade bonds issued by companies in developed</w:t>
      </w:r>
      <w:r>
        <w:rPr>
          <w:lang w:val="en-US"/>
        </w:rPr>
        <w:t xml:space="preserve"> </w:t>
      </w:r>
      <w:r w:rsidRPr="001F74CA">
        <w:rPr>
          <w:lang w:val="en-US"/>
        </w:rPr>
        <w:t>markets (the “Universe”), the index methodology selects bonds using criteria such as but not limited</w:t>
      </w:r>
      <w:r>
        <w:rPr>
          <w:lang w:val="en-US"/>
        </w:rPr>
        <w:t xml:space="preserve"> </w:t>
      </w:r>
      <w:r w:rsidRPr="001F74CA">
        <w:rPr>
          <w:lang w:val="en-US"/>
        </w:rPr>
        <w:t>to:</w:t>
      </w:r>
    </w:p>
    <w:p w14:paraId="0456D87D" w14:textId="77777777" w:rsidR="001F74CA" w:rsidRPr="001F74CA" w:rsidRDefault="001F74CA" w:rsidP="001F74CA">
      <w:pPr>
        <w:jc w:val="both"/>
        <w:rPr>
          <w:lang w:val="en-US"/>
        </w:rPr>
      </w:pPr>
      <w:r w:rsidRPr="001F74CA">
        <w:rPr>
          <w:lang w:val="en-US"/>
        </w:rPr>
        <w:t>1) Minimum amount outstanding at bond level;</w:t>
      </w:r>
    </w:p>
    <w:p w14:paraId="12BBE218" w14:textId="77777777" w:rsidR="001F74CA" w:rsidRPr="001F74CA" w:rsidRDefault="001F74CA" w:rsidP="001F74CA">
      <w:pPr>
        <w:jc w:val="both"/>
        <w:rPr>
          <w:lang w:val="en-US"/>
        </w:rPr>
      </w:pPr>
      <w:r w:rsidRPr="001F74CA">
        <w:rPr>
          <w:lang w:val="en-US"/>
        </w:rPr>
        <w:t>2) Remaining time to maturity;</w:t>
      </w:r>
    </w:p>
    <w:p w14:paraId="4CDD6C6A" w14:textId="77777777" w:rsidR="001F74CA" w:rsidRPr="001F74CA" w:rsidRDefault="001F74CA" w:rsidP="001F74CA">
      <w:pPr>
        <w:jc w:val="both"/>
        <w:rPr>
          <w:lang w:val="en-US"/>
        </w:rPr>
      </w:pPr>
      <w:r w:rsidRPr="001F74CA">
        <w:rPr>
          <w:lang w:val="en-US"/>
        </w:rPr>
        <w:t>3) Seniority of Debt: Senior and subordinated issues are included.</w:t>
      </w:r>
    </w:p>
    <w:p w14:paraId="2C0968E2" w14:textId="2F0FDCA8" w:rsidR="001F74CA" w:rsidRDefault="001F74CA" w:rsidP="001F74CA">
      <w:pPr>
        <w:jc w:val="both"/>
        <w:rPr>
          <w:lang w:val="en-US"/>
        </w:rPr>
      </w:pPr>
      <w:r w:rsidRPr="001F74CA">
        <w:rPr>
          <w:lang w:val="en-US"/>
        </w:rPr>
        <w:t>4) Issuers being attributed an “ESG Rating” (as defined by MSCI). MSCI ESG Rating provides an overall</w:t>
      </w:r>
      <w:r>
        <w:rPr>
          <w:lang w:val="en-US"/>
        </w:rPr>
        <w:t xml:space="preserve"> </w:t>
      </w:r>
      <w:r w:rsidRPr="001F74CA">
        <w:rPr>
          <w:lang w:val="en-US"/>
        </w:rPr>
        <w:t>company ESG rating – a seven-point scale from ‘AAA’ to ‘CCC’. MSCI ESG Rating methodology uses a</w:t>
      </w:r>
      <w:r>
        <w:rPr>
          <w:lang w:val="en-US"/>
        </w:rPr>
        <w:t xml:space="preserve"> </w:t>
      </w:r>
      <w:r w:rsidRPr="001F74CA">
        <w:rPr>
          <w:lang w:val="en-US"/>
        </w:rPr>
        <w:t>rules-based methodology designed to measure a company’s resilience to long-term, industry material</w:t>
      </w:r>
      <w:r>
        <w:rPr>
          <w:lang w:val="en-US"/>
        </w:rPr>
        <w:t xml:space="preserve"> </w:t>
      </w:r>
      <w:r w:rsidRPr="001F74CA">
        <w:rPr>
          <w:lang w:val="en-US"/>
        </w:rPr>
        <w:t>ESG risks. It is based on extra-financial ESG key issues that focus on the intersection between a</w:t>
      </w:r>
      <w:r>
        <w:rPr>
          <w:lang w:val="en-US"/>
        </w:rPr>
        <w:t xml:space="preserve"> </w:t>
      </w:r>
      <w:r w:rsidRPr="001F74CA">
        <w:rPr>
          <w:lang w:val="en-US"/>
        </w:rPr>
        <w:t>company’s core business and the industry-specific issues that may create significant risks and</w:t>
      </w:r>
      <w:r>
        <w:rPr>
          <w:lang w:val="en-US"/>
        </w:rPr>
        <w:t xml:space="preserve"> </w:t>
      </w:r>
      <w:r w:rsidRPr="001F74CA">
        <w:rPr>
          <w:lang w:val="en-US"/>
        </w:rPr>
        <w:t>opportunities for the company. The ESG key issues are weighted according to impact and time horizon</w:t>
      </w:r>
      <w:r>
        <w:rPr>
          <w:lang w:val="en-US"/>
        </w:rPr>
        <w:t xml:space="preserve"> </w:t>
      </w:r>
      <w:r w:rsidRPr="001F74CA">
        <w:rPr>
          <w:lang w:val="en-US"/>
        </w:rPr>
        <w:t>of the risk or opportunity. The ESG key issues include for instance, but are not limited to, water stress,</w:t>
      </w:r>
      <w:r>
        <w:rPr>
          <w:lang w:val="en-US"/>
        </w:rPr>
        <w:t xml:space="preserve"> </w:t>
      </w:r>
      <w:r w:rsidRPr="001F74CA">
        <w:rPr>
          <w:lang w:val="en-US"/>
        </w:rPr>
        <w:t>carbon emissions, labor management or business. For the avoidance of doubt, companies with no ESG</w:t>
      </w:r>
      <w:r>
        <w:rPr>
          <w:lang w:val="en-US"/>
        </w:rPr>
        <w:t xml:space="preserve"> </w:t>
      </w:r>
      <w:r w:rsidRPr="001F74CA">
        <w:rPr>
          <w:lang w:val="en-US"/>
        </w:rPr>
        <w:t>Ratings are excluded;</w:t>
      </w:r>
    </w:p>
    <w:p w14:paraId="1FC9237E" w14:textId="54E4BE65" w:rsidR="001F74CA" w:rsidRPr="001F74CA" w:rsidRDefault="001F74CA" w:rsidP="001F74CA">
      <w:pPr>
        <w:jc w:val="both"/>
        <w:rPr>
          <w:lang w:val="en-US"/>
        </w:rPr>
      </w:pPr>
      <w:r w:rsidRPr="001F74CA">
        <w:rPr>
          <w:lang w:val="en-US"/>
        </w:rPr>
        <w:t>The application of eligibility criteria 1 to 4 leads to a narrowed investment universe (the “Eligible</w:t>
      </w:r>
      <w:r>
        <w:rPr>
          <w:lang w:val="en-US"/>
        </w:rPr>
        <w:t xml:space="preserve"> </w:t>
      </w:r>
      <w:r w:rsidRPr="001F74CA">
        <w:rPr>
          <w:lang w:val="en-US"/>
        </w:rPr>
        <w:t>Universe”);</w:t>
      </w:r>
    </w:p>
    <w:p w14:paraId="0263602F" w14:textId="77777777" w:rsidR="001F74CA" w:rsidRPr="001F74CA" w:rsidRDefault="001F74CA" w:rsidP="001F74CA">
      <w:pPr>
        <w:jc w:val="both"/>
        <w:rPr>
          <w:lang w:val="en-US"/>
        </w:rPr>
      </w:pPr>
      <w:r w:rsidRPr="001F74CA">
        <w:rPr>
          <w:lang w:val="en-US"/>
        </w:rPr>
        <w:t>The Eligible Universe is screened to exclude issuers:</w:t>
      </w:r>
    </w:p>
    <w:p w14:paraId="396DA286" w14:textId="77777777" w:rsidR="001F74CA" w:rsidRPr="001F74CA" w:rsidRDefault="001F74CA" w:rsidP="001F74CA">
      <w:pPr>
        <w:jc w:val="both"/>
        <w:rPr>
          <w:lang w:val="en-US"/>
        </w:rPr>
      </w:pPr>
      <w:r w:rsidRPr="001F74CA">
        <w:rPr>
          <w:lang w:val="en-US"/>
        </w:rPr>
        <w:t>- Involved in activities such as Alcohol, Gambling, Tobacco, Thermal Coal, Oil &amp; Gas, Unconventional</w:t>
      </w:r>
    </w:p>
    <w:p w14:paraId="3E00B20B" w14:textId="77777777" w:rsidR="001F74CA" w:rsidRPr="001F74CA" w:rsidRDefault="001F74CA" w:rsidP="001F74CA">
      <w:pPr>
        <w:jc w:val="both"/>
        <w:rPr>
          <w:lang w:val="en-US"/>
        </w:rPr>
      </w:pPr>
      <w:r w:rsidRPr="001F74CA">
        <w:rPr>
          <w:lang w:val="en-US"/>
        </w:rPr>
        <w:t>Oil &amp; Gas, Power Generation, Nuclear Weapons, Controversial Weapons, Conventional Weapons, or</w:t>
      </w:r>
    </w:p>
    <w:p w14:paraId="3BBB25CA" w14:textId="77777777" w:rsidR="001F74CA" w:rsidRPr="001F74CA" w:rsidRDefault="001F74CA" w:rsidP="001F74CA">
      <w:pPr>
        <w:jc w:val="both"/>
        <w:rPr>
          <w:lang w:val="en-US"/>
        </w:rPr>
      </w:pPr>
      <w:r w:rsidRPr="001F74CA">
        <w:rPr>
          <w:lang w:val="en-US"/>
        </w:rPr>
        <w:t>Civilian Firearms activities based on revenue thresholds as defined in the methodology of the Index;</w:t>
      </w:r>
    </w:p>
    <w:p w14:paraId="15A58F67" w14:textId="77777777" w:rsidR="001F74CA" w:rsidRPr="001F74CA" w:rsidRDefault="001F74CA" w:rsidP="001F74CA">
      <w:pPr>
        <w:jc w:val="both"/>
        <w:rPr>
          <w:lang w:val="en-US"/>
        </w:rPr>
      </w:pPr>
      <w:r w:rsidRPr="001F74CA">
        <w:rPr>
          <w:lang w:val="en-US"/>
        </w:rPr>
        <w:t>- Involved in a major ESG controversy (based on the MSCI ESG Controversy score);</w:t>
      </w:r>
    </w:p>
    <w:p w14:paraId="0B7B0DCE" w14:textId="77777777" w:rsidR="001F74CA" w:rsidRPr="001F74CA" w:rsidRDefault="001F74CA" w:rsidP="001F74CA">
      <w:pPr>
        <w:jc w:val="both"/>
        <w:rPr>
          <w:lang w:val="en-US"/>
        </w:rPr>
      </w:pPr>
      <w:r w:rsidRPr="001F74CA">
        <w:rPr>
          <w:lang w:val="en-US"/>
        </w:rPr>
        <w:t>- Involved in environmental controversies (based on the MSCI Environmental Controversy Score);</w:t>
      </w:r>
    </w:p>
    <w:p w14:paraId="0ACD51D6" w14:textId="77777777" w:rsidR="001F74CA" w:rsidRPr="001F74CA" w:rsidRDefault="001F74CA" w:rsidP="001F74CA">
      <w:pPr>
        <w:jc w:val="both"/>
        <w:rPr>
          <w:lang w:val="en-US"/>
        </w:rPr>
      </w:pPr>
      <w:r w:rsidRPr="001F74CA">
        <w:rPr>
          <w:lang w:val="en-US"/>
        </w:rPr>
        <w:t>- Identified as UNGC violator;</w:t>
      </w:r>
    </w:p>
    <w:p w14:paraId="01C9227D" w14:textId="77777777" w:rsidR="001F74CA" w:rsidRPr="001F74CA" w:rsidRDefault="001F74CA" w:rsidP="001F74CA">
      <w:pPr>
        <w:jc w:val="both"/>
        <w:rPr>
          <w:lang w:val="en-US"/>
        </w:rPr>
      </w:pPr>
      <w:r w:rsidRPr="001F74CA">
        <w:rPr>
          <w:lang w:val="en-US"/>
        </w:rPr>
        <w:t>- With an “MSCI ESG Rating” lower than BB;</w:t>
      </w:r>
    </w:p>
    <w:p w14:paraId="3F4CA33A" w14:textId="73B387D9" w:rsidR="001F74CA" w:rsidRPr="001F74CA" w:rsidRDefault="001F74CA" w:rsidP="001F74CA">
      <w:pPr>
        <w:jc w:val="both"/>
        <w:rPr>
          <w:lang w:val="en-US"/>
        </w:rPr>
      </w:pPr>
      <w:r w:rsidRPr="001F74CA">
        <w:rPr>
          <w:lang w:val="en-US"/>
        </w:rPr>
        <w:t>Once the Eligible Universe has been screened, an optimization process is then performed to select and</w:t>
      </w:r>
      <w:r>
        <w:rPr>
          <w:lang w:val="en-US"/>
        </w:rPr>
        <w:t xml:space="preserve"> </w:t>
      </w:r>
      <w:r w:rsidRPr="001F74CA">
        <w:rPr>
          <w:lang w:val="en-US"/>
        </w:rPr>
        <w:t>weight each security in the Index in order to minimize the active total risk versus the Parent Index and</w:t>
      </w:r>
      <w:r>
        <w:rPr>
          <w:lang w:val="en-US"/>
        </w:rPr>
        <w:t xml:space="preserve"> </w:t>
      </w:r>
      <w:r w:rsidRPr="001F74CA">
        <w:rPr>
          <w:lang w:val="en-US"/>
        </w:rPr>
        <w:t>comply with the EU PAB standards. The optimization process takes into account, among others, the</w:t>
      </w:r>
      <w:r>
        <w:rPr>
          <w:lang w:val="en-US"/>
        </w:rPr>
        <w:t xml:space="preserve"> </w:t>
      </w:r>
      <w:r w:rsidRPr="001F74CA">
        <w:rPr>
          <w:lang w:val="en-US"/>
        </w:rPr>
        <w:t>following constraints :</w:t>
      </w:r>
    </w:p>
    <w:p w14:paraId="7A1EACED" w14:textId="77777777" w:rsidR="001F74CA" w:rsidRPr="001F74CA" w:rsidRDefault="001F74CA" w:rsidP="001F74CA">
      <w:pPr>
        <w:jc w:val="both"/>
        <w:rPr>
          <w:lang w:val="en-US"/>
        </w:rPr>
      </w:pPr>
      <w:r w:rsidRPr="001F74CA">
        <w:rPr>
          <w:lang w:val="en-US"/>
        </w:rPr>
        <w:t>• Climate constraints such as but not limited to</w:t>
      </w:r>
    </w:p>
    <w:p w14:paraId="09F70095" w14:textId="37C0852D" w:rsidR="001F74CA" w:rsidRPr="001F74CA" w:rsidRDefault="001F74CA" w:rsidP="001F74CA">
      <w:pPr>
        <w:jc w:val="both"/>
        <w:rPr>
          <w:lang w:val="en-US"/>
        </w:rPr>
      </w:pPr>
      <w:r w:rsidRPr="001F74CA">
        <w:rPr>
          <w:lang w:val="en-US"/>
        </w:rPr>
        <w:t>o A reduction in weighted average absolute GHG emissions relative to the Parent index at inception</w:t>
      </w:r>
      <w:r>
        <w:rPr>
          <w:lang w:val="en-US"/>
        </w:rPr>
        <w:t xml:space="preserve"> </w:t>
      </w:r>
      <w:r w:rsidRPr="001F74CA">
        <w:rPr>
          <w:lang w:val="en-US"/>
        </w:rPr>
        <w:t>date</w:t>
      </w:r>
    </w:p>
    <w:p w14:paraId="63DE141E" w14:textId="77777777" w:rsidR="001F74CA" w:rsidRPr="001F74CA" w:rsidRDefault="001F74CA" w:rsidP="001F74CA">
      <w:pPr>
        <w:jc w:val="both"/>
        <w:rPr>
          <w:lang w:val="en-US"/>
        </w:rPr>
      </w:pPr>
      <w:r w:rsidRPr="001F74CA">
        <w:rPr>
          <w:lang w:val="en-US"/>
        </w:rPr>
        <w:t>o A minimal annual reduction in weighted average absolute GHG emissions relative to the Parent Index</w:t>
      </w:r>
    </w:p>
    <w:p w14:paraId="4E5A0850" w14:textId="1079A6EC" w:rsidR="001F74CA" w:rsidRPr="001F74CA" w:rsidRDefault="001F74CA" w:rsidP="001F74CA">
      <w:pPr>
        <w:jc w:val="both"/>
        <w:rPr>
          <w:lang w:val="en-US"/>
        </w:rPr>
      </w:pPr>
      <w:r w:rsidRPr="001F74CA">
        <w:rPr>
          <w:lang w:val="en-US"/>
        </w:rPr>
        <w:t>o A reduction in weighted average carbon intensity / sales relative to the Parent index at inception</w:t>
      </w:r>
      <w:r>
        <w:rPr>
          <w:lang w:val="en-US"/>
        </w:rPr>
        <w:t xml:space="preserve"> </w:t>
      </w:r>
      <w:r w:rsidRPr="001F74CA">
        <w:rPr>
          <w:lang w:val="en-US"/>
        </w:rPr>
        <w:t>date</w:t>
      </w:r>
    </w:p>
    <w:p w14:paraId="6EFDCB7D" w14:textId="77777777" w:rsidR="001F74CA" w:rsidRPr="001F74CA" w:rsidRDefault="001F74CA" w:rsidP="001F74CA">
      <w:pPr>
        <w:jc w:val="both"/>
        <w:rPr>
          <w:lang w:val="en-US"/>
        </w:rPr>
      </w:pPr>
      <w:r w:rsidRPr="001F74CA">
        <w:rPr>
          <w:lang w:val="en-US"/>
        </w:rPr>
        <w:lastRenderedPageBreak/>
        <w:t>o A minimal annual reduction in weighted average carbon intensity / sales relative to the Parent Index</w:t>
      </w:r>
    </w:p>
    <w:p w14:paraId="208E7907" w14:textId="1FD37E31" w:rsidR="001F74CA" w:rsidRPr="001F74CA" w:rsidRDefault="001F74CA" w:rsidP="001F74CA">
      <w:pPr>
        <w:jc w:val="both"/>
        <w:rPr>
          <w:lang w:val="en-US"/>
        </w:rPr>
      </w:pPr>
      <w:r w:rsidRPr="001F74CA">
        <w:rPr>
          <w:lang w:val="en-US"/>
        </w:rPr>
        <w:t>• Green bond constraints such as a minimum increase in Green Bond security weight relative to their</w:t>
      </w:r>
      <w:r>
        <w:rPr>
          <w:lang w:val="en-US"/>
        </w:rPr>
        <w:t xml:space="preserve"> </w:t>
      </w:r>
      <w:r w:rsidRPr="001F74CA">
        <w:rPr>
          <w:lang w:val="en-US"/>
        </w:rPr>
        <w:t>weight in Parent Index</w:t>
      </w:r>
    </w:p>
    <w:p w14:paraId="682DDD8C" w14:textId="01CE83FD" w:rsidR="001F74CA" w:rsidRPr="001F74CA" w:rsidRDefault="001F74CA" w:rsidP="001F74CA">
      <w:pPr>
        <w:jc w:val="both"/>
        <w:rPr>
          <w:lang w:val="en-US"/>
        </w:rPr>
      </w:pPr>
      <w:r w:rsidRPr="001F74CA">
        <w:rPr>
          <w:lang w:val="en-US"/>
        </w:rPr>
        <w:t xml:space="preserve">• </w:t>
      </w:r>
      <w:proofErr w:type="spellStart"/>
      <w:r w:rsidRPr="001F74CA">
        <w:rPr>
          <w:lang w:val="en-US"/>
        </w:rPr>
        <w:t>Investability</w:t>
      </w:r>
      <w:proofErr w:type="spellEnd"/>
      <w:r w:rsidRPr="001F74CA">
        <w:rPr>
          <w:lang w:val="en-US"/>
        </w:rPr>
        <w:t xml:space="preserve"> constraints aiming at maintaining a similar risk profile with respect to the Parent Index</w:t>
      </w:r>
      <w:r>
        <w:rPr>
          <w:lang w:val="en-US"/>
        </w:rPr>
        <w:t xml:space="preserve"> </w:t>
      </w:r>
      <w:r w:rsidRPr="001F74CA">
        <w:rPr>
          <w:lang w:val="en-US"/>
        </w:rPr>
        <w:t>(such as bond weight, yield and duration, sector, country of risk constraints) as defined in the</w:t>
      </w:r>
      <w:r>
        <w:rPr>
          <w:lang w:val="en-US"/>
        </w:rPr>
        <w:t xml:space="preserve"> </w:t>
      </w:r>
      <w:r w:rsidRPr="001F74CA">
        <w:rPr>
          <w:lang w:val="en-US"/>
        </w:rPr>
        <w:t>methodology of the index.</w:t>
      </w:r>
    </w:p>
    <w:p w14:paraId="69C7E66C" w14:textId="77E83D2E" w:rsidR="001F74CA" w:rsidRDefault="001F74CA" w:rsidP="001F74CA">
      <w:pPr>
        <w:jc w:val="both"/>
        <w:rPr>
          <w:lang w:val="en-US"/>
        </w:rPr>
      </w:pPr>
      <w:r w:rsidRPr="001F74CA">
        <w:rPr>
          <w:lang w:val="en-US"/>
        </w:rPr>
        <w:t xml:space="preserve">The Product strategy is also relying on systematic exclusions policies (normative and </w:t>
      </w:r>
      <w:proofErr w:type="spellStart"/>
      <w:r w:rsidRPr="001F74CA">
        <w:rPr>
          <w:lang w:val="en-US"/>
        </w:rPr>
        <w:t>sectorials</w:t>
      </w:r>
      <w:proofErr w:type="spellEnd"/>
      <w:r w:rsidRPr="001F74CA">
        <w:rPr>
          <w:lang w:val="en-US"/>
        </w:rPr>
        <w:t>) as</w:t>
      </w:r>
      <w:r>
        <w:rPr>
          <w:lang w:val="en-US"/>
        </w:rPr>
        <w:t xml:space="preserve"> </w:t>
      </w:r>
      <w:r w:rsidRPr="001F74CA">
        <w:rPr>
          <w:lang w:val="en-US"/>
        </w:rPr>
        <w:t>further described in Amundi Responsible Investment policy.</w:t>
      </w:r>
    </w:p>
    <w:p w14:paraId="56D7B633" w14:textId="45F09778"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20D81BC" w14:textId="4E0F9AAF" w:rsidR="0061030C" w:rsidRDefault="00BC4D17" w:rsidP="00BC4D17">
      <w:pPr>
        <w:jc w:val="both"/>
        <w:rPr>
          <w:lang w:val="en-US"/>
        </w:rPr>
      </w:pPr>
      <w:r w:rsidRPr="00BC4D17">
        <w:rPr>
          <w:lang w:val="en-US"/>
        </w:rPr>
        <w:t>At least 90% of the Sub-Fund’s securities and instruments will meet the promoted environmental</w:t>
      </w:r>
      <w:r>
        <w:rPr>
          <w:lang w:val="en-US"/>
        </w:rPr>
        <w:t xml:space="preserve"> </w:t>
      </w:r>
      <w:r w:rsidRPr="00BC4D17">
        <w:rPr>
          <w:lang w:val="en-US"/>
        </w:rPr>
        <w:t>or social characteristics in accordance with the binding elements of the Index methodology. Furthermore,</w:t>
      </w:r>
      <w:r>
        <w:rPr>
          <w:lang w:val="en-US"/>
        </w:rPr>
        <w:t xml:space="preserve"> </w:t>
      </w:r>
      <w:r w:rsidRPr="00BC4D17">
        <w:rPr>
          <w:lang w:val="en-US"/>
        </w:rPr>
        <w:t>the Sub-Fund commits to have a minimum of 20% of sustainable investments as per the below chart.</w:t>
      </w:r>
      <w:r>
        <w:rPr>
          <w:lang w:val="en-US"/>
        </w:rPr>
        <w:t xml:space="preserve"> </w:t>
      </w:r>
      <w:r w:rsidRPr="00BC4D17">
        <w:rPr>
          <w:lang w:val="en-US"/>
        </w:rPr>
        <w:t>Investments aligned with other E/S characteristics (#1B) will represent the difference between the actual</w:t>
      </w:r>
      <w:r>
        <w:rPr>
          <w:lang w:val="en-US"/>
        </w:rPr>
        <w:t xml:space="preserve"> </w:t>
      </w:r>
      <w:r w:rsidRPr="00BC4D17">
        <w:rPr>
          <w:lang w:val="en-US"/>
        </w:rPr>
        <w:t>proportion of investments aligned with environmental or social characteristics (#1) and the actual</w:t>
      </w:r>
      <w:r>
        <w:rPr>
          <w:lang w:val="en-US"/>
        </w:rPr>
        <w:t xml:space="preserve"> </w:t>
      </w:r>
      <w:r w:rsidRPr="00BC4D17">
        <w:rPr>
          <w:lang w:val="en-US"/>
        </w:rPr>
        <w:t>proportion of sustainable investments (#1A). The planned proportion of other environmental investment</w:t>
      </w:r>
      <w:r>
        <w:rPr>
          <w:lang w:val="en-US"/>
        </w:rPr>
        <w:t xml:space="preserve"> </w:t>
      </w:r>
      <w:r w:rsidRPr="00BC4D17">
        <w:rPr>
          <w:lang w:val="en-US"/>
        </w:rPr>
        <w:t>represents a minimum of 20% (</w:t>
      </w:r>
      <w:proofErr w:type="spellStart"/>
      <w:r w:rsidRPr="00BC4D17">
        <w:rPr>
          <w:lang w:val="en-US"/>
        </w:rPr>
        <w:t>i</w:t>
      </w:r>
      <w:proofErr w:type="spellEnd"/>
      <w:r w:rsidRPr="00BC4D17">
        <w:rPr>
          <w:lang w:val="en-US"/>
        </w:rPr>
        <w:t>) and may change as the actual proportions of Taxonomy-aligned and/or</w:t>
      </w:r>
      <w:r>
        <w:rPr>
          <w:lang w:val="en-US"/>
        </w:rPr>
        <w:t xml:space="preserve"> </w:t>
      </w:r>
      <w:r w:rsidRPr="00BC4D17">
        <w:rPr>
          <w:lang w:val="en-US"/>
        </w:rPr>
        <w:t>Social investments increase.</w:t>
      </w:r>
    </w:p>
    <w:p w14:paraId="300D522D" w14:textId="77777777" w:rsidR="008F0E0A" w:rsidRPr="00C2259E" w:rsidRDefault="008F0E0A"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w:t>
      </w:r>
      <w:r w:rsidRPr="00F03360">
        <w:rPr>
          <w:lang w:val="en-US"/>
        </w:rPr>
        <w:lastRenderedPageBreak/>
        <w:t>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lastRenderedPageBreak/>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lastRenderedPageBreak/>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AA1787A" w14:textId="7A452CC2" w:rsidR="00815AEA" w:rsidRDefault="00483CCC" w:rsidP="00567C54">
      <w:pPr>
        <w:tabs>
          <w:tab w:val="num" w:pos="1560"/>
        </w:tabs>
        <w:spacing w:after="0"/>
        <w:jc w:val="both"/>
        <w:rPr>
          <w:lang w:val="en-US"/>
        </w:rPr>
      </w:pPr>
      <w:r w:rsidRPr="00483CCC">
        <w:rPr>
          <w:lang w:val="en-US"/>
        </w:rPr>
        <w:t>Bloomberg MSCI Euro Corporate Paris Aligned Green Tilted Index is constructed from the Bloomberg</w:t>
      </w:r>
      <w:r>
        <w:rPr>
          <w:lang w:val="en-US"/>
        </w:rPr>
        <w:t xml:space="preserve"> </w:t>
      </w:r>
      <w:r w:rsidRPr="00483CCC">
        <w:rPr>
          <w:lang w:val="en-US"/>
        </w:rPr>
        <w:t>Euro Corporate Index (the “Parent Index”) and intends to be representative of the Euro denominated</w:t>
      </w:r>
      <w:r>
        <w:rPr>
          <w:lang w:val="en-US"/>
        </w:rPr>
        <w:t xml:space="preserve"> </w:t>
      </w:r>
      <w:r w:rsidRPr="00483CCC">
        <w:rPr>
          <w:lang w:val="en-US"/>
        </w:rPr>
        <w:t>investment grade corporate bond market while meeting and exceeding the minimum standards of the</w:t>
      </w:r>
      <w:r>
        <w:rPr>
          <w:lang w:val="en-US"/>
        </w:rPr>
        <w:t xml:space="preserve"> </w:t>
      </w:r>
      <w:r w:rsidRPr="00483CCC">
        <w:rPr>
          <w:lang w:val="en-US"/>
        </w:rPr>
        <w:t>EU PAB. The index uses an optimization approach that aims to minimize the active total risk with</w:t>
      </w:r>
      <w:r>
        <w:rPr>
          <w:lang w:val="en-US"/>
        </w:rPr>
        <w:t xml:space="preserve"> </w:t>
      </w:r>
      <w:r w:rsidRPr="00483CCC">
        <w:rPr>
          <w:lang w:val="en-US"/>
        </w:rPr>
        <w:t>respect</w:t>
      </w:r>
      <w:r>
        <w:rPr>
          <w:lang w:val="en-US"/>
        </w:rPr>
        <w:t xml:space="preserve"> </w:t>
      </w:r>
      <w:r w:rsidRPr="00483CCC">
        <w:rPr>
          <w:lang w:val="en-US"/>
        </w:rPr>
        <w:t>to the Parent Index under constraints.</w:t>
      </w:r>
    </w:p>
    <w:p w14:paraId="68E780D9" w14:textId="0396ECA4" w:rsidR="00D6120B" w:rsidRPr="00483CCC" w:rsidRDefault="00483CCC" w:rsidP="00567C54">
      <w:pPr>
        <w:tabs>
          <w:tab w:val="num" w:pos="1560"/>
        </w:tabs>
        <w:spacing w:after="0"/>
        <w:jc w:val="both"/>
        <w:rPr>
          <w:lang w:val="en-US"/>
        </w:rPr>
      </w:pPr>
      <w:r w:rsidRPr="00483CCC">
        <w:rPr>
          <w:lang w:val="en-US"/>
        </w:rPr>
        <w:t xml:space="preserve">Additional information on the Index can be found at </w:t>
      </w:r>
      <w:hyperlink r:id="rId7" w:history="1">
        <w:r w:rsidR="00D6120B" w:rsidRPr="00061EFE">
          <w:rPr>
            <w:rStyle w:val="Lienhypertexte"/>
            <w:lang w:val="en-US"/>
          </w:rPr>
          <w:t>https://www.bloomberg.com/</w:t>
        </w:r>
      </w:hyperlink>
    </w:p>
    <w:sectPr w:rsidR="00D6120B" w:rsidRPr="00483C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861DE"/>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3E3C"/>
    <w:rsid w:val="001B67B5"/>
    <w:rsid w:val="001D4BC9"/>
    <w:rsid w:val="001E08A0"/>
    <w:rsid w:val="001E17CE"/>
    <w:rsid w:val="001E5AB7"/>
    <w:rsid w:val="001F7141"/>
    <w:rsid w:val="001F74CA"/>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46073"/>
    <w:rsid w:val="004558A2"/>
    <w:rsid w:val="00465DAB"/>
    <w:rsid w:val="00476C46"/>
    <w:rsid w:val="0048166E"/>
    <w:rsid w:val="00483CCC"/>
    <w:rsid w:val="00485614"/>
    <w:rsid w:val="00492750"/>
    <w:rsid w:val="004A483D"/>
    <w:rsid w:val="004B0D75"/>
    <w:rsid w:val="004B465F"/>
    <w:rsid w:val="004B5CFA"/>
    <w:rsid w:val="004C719B"/>
    <w:rsid w:val="004D1687"/>
    <w:rsid w:val="004D6989"/>
    <w:rsid w:val="004E051F"/>
    <w:rsid w:val="004E707D"/>
    <w:rsid w:val="004F0B15"/>
    <w:rsid w:val="004F513A"/>
    <w:rsid w:val="0051185F"/>
    <w:rsid w:val="00511941"/>
    <w:rsid w:val="00515866"/>
    <w:rsid w:val="005209B4"/>
    <w:rsid w:val="0053001B"/>
    <w:rsid w:val="005324D2"/>
    <w:rsid w:val="00537782"/>
    <w:rsid w:val="00540C2B"/>
    <w:rsid w:val="005439F1"/>
    <w:rsid w:val="005565FF"/>
    <w:rsid w:val="005623A1"/>
    <w:rsid w:val="00567C54"/>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241D"/>
    <w:rsid w:val="005F6C0F"/>
    <w:rsid w:val="006051F9"/>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134F"/>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0E0A"/>
    <w:rsid w:val="008F34DF"/>
    <w:rsid w:val="008F3945"/>
    <w:rsid w:val="008F6EBD"/>
    <w:rsid w:val="009056C1"/>
    <w:rsid w:val="00906147"/>
    <w:rsid w:val="00906190"/>
    <w:rsid w:val="0091097F"/>
    <w:rsid w:val="00921654"/>
    <w:rsid w:val="009422E3"/>
    <w:rsid w:val="00943250"/>
    <w:rsid w:val="00944766"/>
    <w:rsid w:val="009474D0"/>
    <w:rsid w:val="009479E0"/>
    <w:rsid w:val="009507AC"/>
    <w:rsid w:val="00956EA1"/>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368E"/>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67EA"/>
    <w:rsid w:val="00B771E4"/>
    <w:rsid w:val="00B95447"/>
    <w:rsid w:val="00BA4B8D"/>
    <w:rsid w:val="00BB16B6"/>
    <w:rsid w:val="00BB5B8B"/>
    <w:rsid w:val="00BC19FC"/>
    <w:rsid w:val="00BC36B7"/>
    <w:rsid w:val="00BC4D17"/>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4709F"/>
    <w:rsid w:val="00C50BCF"/>
    <w:rsid w:val="00C561CE"/>
    <w:rsid w:val="00C60B36"/>
    <w:rsid w:val="00C62D2A"/>
    <w:rsid w:val="00C710EE"/>
    <w:rsid w:val="00C7215A"/>
    <w:rsid w:val="00C73E3F"/>
    <w:rsid w:val="00C74E99"/>
    <w:rsid w:val="00C76BA6"/>
    <w:rsid w:val="00C82F3C"/>
    <w:rsid w:val="00C86E30"/>
    <w:rsid w:val="00C955C4"/>
    <w:rsid w:val="00C97A7B"/>
    <w:rsid w:val="00CA1772"/>
    <w:rsid w:val="00CA7D78"/>
    <w:rsid w:val="00CB056B"/>
    <w:rsid w:val="00CB6D7C"/>
    <w:rsid w:val="00CC1AA8"/>
    <w:rsid w:val="00CC3FA8"/>
    <w:rsid w:val="00CC4F8C"/>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9E0"/>
    <w:rsid w:val="00D2174C"/>
    <w:rsid w:val="00D22BB1"/>
    <w:rsid w:val="00D237F4"/>
    <w:rsid w:val="00D27CC4"/>
    <w:rsid w:val="00D40FBB"/>
    <w:rsid w:val="00D4126C"/>
    <w:rsid w:val="00D456FB"/>
    <w:rsid w:val="00D5388D"/>
    <w:rsid w:val="00D54CBD"/>
    <w:rsid w:val="00D5727E"/>
    <w:rsid w:val="00D6120B"/>
    <w:rsid w:val="00D620C1"/>
    <w:rsid w:val="00D63DDF"/>
    <w:rsid w:val="00D77F20"/>
    <w:rsid w:val="00D82EA7"/>
    <w:rsid w:val="00D8366E"/>
    <w:rsid w:val="00D8711F"/>
    <w:rsid w:val="00D908C4"/>
    <w:rsid w:val="00D972CF"/>
    <w:rsid w:val="00DA1CE3"/>
    <w:rsid w:val="00DB00D2"/>
    <w:rsid w:val="00DB716A"/>
    <w:rsid w:val="00DC4C68"/>
    <w:rsid w:val="00DD5480"/>
    <w:rsid w:val="00DE6AED"/>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E4E4B"/>
    <w:rsid w:val="00EE6944"/>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2979</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447</cp:revision>
  <dcterms:created xsi:type="dcterms:W3CDTF">2022-11-23T07:47:00Z</dcterms:created>
  <dcterms:modified xsi:type="dcterms:W3CDTF">2025-04-30T12:25:00Z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